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8C_476/2015 vom 31. August 2015</w:t>
      </w:r>
    </w:p>
    <w:p>
      <w:r>
        <w:t>Bundesgericht, 2015-08-31, DE</w:t>
      </w:r>
    </w:p>
    <w:p>
      <w:r>
        <w:rPr>
          <w:b/>
        </w:rPr>
        <w:t xml:space="preserve">Quelle: </w:t>
      </w:r>
      <w:r>
        <w:t>https://mcp.opencaselaw.ch/entscheid/bger_8C_476_2015</w:t>
      </w:r>
    </w:p>
    <w:p>
      <w:r>
        <w:t>FR: TF 8C_476/2015 du 31 août 2015</w:t>
      </w:r>
    </w:p>
    <w:p>
      <w:r>
        <w:t>IT: TF 8C_476/2015 del 31 agosto 2015</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w:t>
      </w:r>
    </w:p>
    <w:p>
      <w:r>
        <w:rPr>
          <w:b/>
        </w:rPr>
        <w:t>E. 1.1</w:t>
      </w:r>
    </w:p>
    <w:p>
      <w:r>
        <w:t>Gemäss Art. 90 BGG ist die Beschwerde zulässig gegen Entscheide, die das Verfahren abschliessen. Ebenfalls zulässig ist nach Art. 92 Abs. 1 BGG die Beschwerde gegen selbstständig eröffnete Vor- und Zwischenentscheide über die Zuständigkeit und über Ausstandsbegehren. Gegen einen sog. anderen selbstständig eröffneten Zwischenentscheid im Sinne von Art. 93 BGG ist die Beschwerde in öffentlich-rechtlichen Angelegenheiten demgegenüber nur zulässig, wenn er einen nicht wieder gutzumachenden Nachteil bewirken kann (Abs. 1 lit. a BGG), oder wenn die Gutheissung der Beschwerde sofort einen Endentscheid herbeiführen und damit einen bedeutenden Aufwand an Zeit und Kosten für ein weitläufiges Beweisverfahren ersparen würde (lit. b). Ist die Beschwerde nicht zulässig oder wurde von ihr kein Gebrauch gemacht, bleibt ein Zwischenentscheid im Rahmen einer Beschwerde gegen den Endentscheid anfechtbar, sofern er sich auf dessen Inhalt auswirkt ( Art. 93 Abs. 3 BGG ). Rückweisungsentscheide, mit denen eine Sache wie im vorliegenden Fall zur neuen Entscheidung an die Vorinstanz zurückgewiesen wird, sind grundsätzlich Zwischenentscheide, die nur unter den genannten Voraussetzungen beim Bundesgericht angefochten werden können ( BGE 140 V 282 E. 2 S. 283 mit Hinweisen).</w:t>
      </w:r>
    </w:p>
    <w:p>
      <w:r>
        <w:rPr>
          <w:b/>
        </w:rPr>
        <w:t>E. 1.2</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und braucht nicht der Endentscheid abgewartet zu werden ( BGE 140 V 282 E. 4.2 S. 285 f. mit Hinweisen, 133 V 477 E. 5.2.4 S. 484 f.)</w:t>
      </w:r>
    </w:p>
    <w:p>
      <w:r>
        <w:rPr>
          <w:b/>
        </w:rPr>
        <w:t>E. 1.3</w:t>
      </w:r>
    </w:p>
    <w:p>
      <w:r>
        <w:t>Das kantonale Gericht hat die Angelegenheit an den Unfallversicherer zurückgewiesen, mit der Vorgabe, dass die Zürich bei ihrer neuen Verfügung bezüglich der Festlegung des Invalideneinkommens auf die derzeitige Anstellung des Versicherten als Gärtner abzustellen habe. Der angefochtene Entscheid enthält damit materiellrechtlich verbindliche Anordnungen, welche den Beurteilungsspielraum der Beschwerdeführerin wesentlich einschränken. Im Umstand, dass der darauf beruhende Endentscheid praktisch nicht angefochten und das Ergebnis nicht mehr korrigiert werden könnte, ist nach dem Gesagten ein nicht wieder gutzumachender Nachteil im Sinne des Art. 93 Abs. 1 lit. a BGG zu erblicken. Auf die Beschwerde ist daher einzutreten.</w:t>
      </w:r>
    </w:p>
    <w:p>
      <w:r>
        <w:rPr>
          <w:b/>
        </w:rPr>
        <w:t>E. 2</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 BGE 133 II 249 E. 1.4.1 S. 254).</w:t>
      </w:r>
    </w:p>
    <w:p>
      <w:r>
        <w:rPr>
          <w:b/>
        </w:rPr>
        <w:t>E. 3</w:t>
      </w:r>
    </w:p>
    <w:p>
      <w:r>
        <w:t>Streitig und zu prüfen ist einzig, ob die im Rückweisungsentscheid getroffene Anordnung der Vorinstanz, wonach die Beschwerdeführerin die Einschränkung der Arbeitsfähigkeit aufgrund der erlittenen Wirbelkörperfrakturen der BWS im Hinblick auf die angestammte Tätigkeit als Gärtner abzuklären und das Invalideneinkommen anhand des tatsächlich erzielten Verdienstes in der Gärtnerei festzulegen habe, Bundesrecht verletzt.</w:t>
      </w:r>
    </w:p>
    <w:p>
      <w:r>
        <w:rPr>
          <w:b/>
        </w:rPr>
        <w:t>E. 3.1</w:t>
      </w:r>
    </w:p>
    <w:p>
      <w:r>
        <w:t>Gemäss Rechtsprechung ist für die Festsetzung des Invalideneinkommens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 BGE 139 V 592 E. 2.3 mit Hinweisen).</w:t>
      </w:r>
    </w:p>
    <w:p>
      <w:r>
        <w:rPr>
          <w:b/>
        </w:rPr>
        <w:t>E. 3.2</w:t>
      </w:r>
    </w:p>
    <w:p>
      <w:r>
        <w:t>Wie die Vorinstanz im angefochtenen Rückweisungsentscheid zu Recht erwogen hat, sind diese Voraussetzungen im vorliegenden Fall zweifellos erfüllt. Der bald 63-jährige Versicherte übt in der Gärtnerei, in welcher er seit Jahren angestellt ist, eine Tätigkeit aus, mit welcher er gemäss des Gutachtens der Gutachterstelle C.________ die ihm verbleibende Arbeitsfähigkeit in zumutbarem Rahmen voll ausschöpft. Überdies erzielt er ein Einkommen, das nicht als Soziallohn zu betrachten ist. Dem Versicherten ist alsdann aufgrund seines Alters ein Berufs- oder Stellenwechsel nicht mehr zumutbar (Urteil 8C_448/2014 vom 29. Dezember 2014 E. 4.3, vgl. ferner MEYER/REICHMUTH, Bundesgesetz über die Invalidenversicherung, 3. Aufl. 2014, N. 13 f. zu Art. 28 IVG ). Damit gilt rechtsprechungsgemäss grundsätzlich der effektive Lohn als Invalidenlohn. Die Einwendungen der Beschwerdeführerin sind nicht geeignet die Beurteilung der Vorinstanz als bundesrechtswidrig erscheinen zu lassen. Insbesondere ist dem Gutachten der Gutachterstelle C.________ nicht zu entnehmen, dass die ausgeübte aktuelle Tätigkeit als Gärtner unter dem formulierten Anforderungsprofil nicht angepasst ist. Vielmehr wird darin explizit ausgeführt, dass keine Tätigkeiten genannt werden können, in denen die Arbeitsfähigkeit des Versicherten höher wäre.</w:t>
      </w:r>
    </w:p>
    <w:p>
      <w:r>
        <w:rPr>
          <w:b/>
        </w:rPr>
        <w:t>E. 3.3</w:t>
      </w:r>
    </w:p>
    <w:p>
      <w:r>
        <w:t>Im vorliegenden Fall bezieht sich die Ausschöpfung der Arbeitsfähigkeit allerdings auch auf unfallfremde Beschwerden, für welche die Beschwerdeführerin nicht haftet. Sie wird daher bei ihrer neuen Verfügung zwar von der bestehenden Anstellung ausgehen müssen. Indessen haben dabei nur die unfallbedingten Einschränkungen Berücksichtigung zu finden. Dies entspricht denn auch der Auffassung der Vorinstanz, deren angefochtene Erwägung 9.3 nicht anders verstanden werden kann. So hält sie fest, das die Gutachterstelle C.________ aufzufordern sei, mitzuteilen, in welchem konkreten Ausmass der Versicherte aufgrund der beim Unfall erlittenen Rückenverletzungen in der Arbeitsfähigkeit herabgesetzt sei. Die Beschwerde ist mithin abzuweisen.</w:t>
      </w:r>
    </w:p>
    <w:p>
      <w:r>
        <w:rPr>
          <w:b/>
        </w:rPr>
        <w:t>E. 4</w:t>
      </w:r>
    </w:p>
    <w:p>
      <w:r>
        <w:t>Das Verfahren ist kostenpflichtig ( Art. 65 BGG ). Dem Ausgang des Verfahrens entsprechend sind die Gerichtskosten der Beschwerdeführerin aufzuerlegen ( Art. 66 Abs. 1 BGG ).</w:t>
      </w:r>
    </w:p>
    <w:p>
      <w:r>
        <w:rPr>
          <w:b/>
        </w:rPr>
        <w:t>E. 5</w:t>
      </w:r>
    </w:p>
    <w:p>
      <w:r>
        <w:t>Das Gesuch um aufschiebende Wirkung der Beschwerde wird mit dem heutigen Urteil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