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8C_475/2016 vom 4. Oktober 2016</w:t>
      </w:r>
    </w:p>
    <w:p>
      <w:r>
        <w:t>Bundesgericht, 2016-10-04, DE</w:t>
      </w:r>
    </w:p>
    <w:p>
      <w:r>
        <w:rPr>
          <w:b/>
        </w:rPr>
        <w:t xml:space="preserve">Quelle: </w:t>
      </w:r>
      <w:r>
        <w:t>https://mcp.opencaselaw.ch/entscheid/bger_8C_475_2016</w:t>
      </w:r>
    </w:p>
    <w:p>
      <w:r>
        <w:t>FR: TF 8C_475/2016 du 4 octobre 2016</w:t>
      </w:r>
    </w:p>
    <w:p>
      <w:r>
        <w:t>IT: TF 8C_475/2016 del 4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Streitgegenstand bildet die Frage, ob sich der Invaliditätsgrad im Zeitraum seit Erlass der Verfügung vom 19. Dezember 2011 bis zur Neuprüfung und Aufhebung der Invalidenrente per 1. Januar 2014 (Einspracheentscheid vom 26. Januar 2016) in revisionsrechtlich erheblicher Weise verändert hat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vom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w:t>
      </w:r>
    </w:p>
    <w:p>
      <w:r>
        <w:rPr>
          <w:b/>
        </w:rPr>
        <w:t>E. 2.2</w:t>
      </w:r>
    </w:p>
    <w:p>
      <w:r>
        <w:t>Das kantonale Gericht hat erkannt, dass der Versicherte das bei der D.________ AG anfänglich ab September 2011 erzielte Einkommen von Fr. 4'700.- monatlich (zuzüglich 13. Monatsgehalt = Fr. 61'100.- jährlich), das Grundlage der Einschätzung des hypothetischen Invalideneinkommens gemäss Art. 16 ATSG bildete (vgl. Verfügung vom 19. Dezember 2011), ab Januar 2014 auf Fr. 5'400.- (zuzüglich 13. Monatsgehalt = Fr. 70'200.- jährlich) zu steigern vermochte, weshalb ein Revisionstatbestand im Sinne der Praxis anzunehmen war. Soweit der Beschwerdeführer gegenteiliger Auffassung zu sein scheint, ist darauf hinzuweisen, dass die Rente auch dann revidiert werden kann, wenn die erwerblichen Möglichkeiten sich aufgrund eigener Anstrengungen der versicherten Person verbessert haben (vgl. RUMO-JUNGO/HOLZER, Rechtsprechung des Bundesgerichts zum Sozialversicherungsrecht, Bundesgesetz über die Unfallversicherung [UVG], 4. Aufl., Zürich/Basel/Genf 2012, S. 153 mit Hinweis). Daher ist nicht zu beanstanden, wenn die Vorinstanz den Rentenanspruch in rechtlicher und tatsächlicher Hinsicht umfassend ("allseitig"), mithin ohne Bindung an frühere Beurteilungen geprüft hat (vgl. BGE 141 V 9 E. 2.3 S. 11 mit Hinweisen und E. 6.1 S. 13). Die umfassende Beurteilung hat sich, was der Beschwerdeführer weiter übersieht, auch deshalb aufgedrängt, um die von ihm geltend gemachte Erheblichkeit der eingetretenen tatsächlichen Veränderung des Invaliditätsgrades im Sinne des von der Rechtsprechung bestimmten Grenzwertes von 5 % (vgl. BGE 133 V 545 E. 6.2 S. 547 mit Hinweisen) feststellen zu können.</w:t>
      </w:r>
    </w:p>
    <w:p>
      <w:r>
        <w:rPr>
          <w:b/>
        </w:rPr>
        <w:t>E. 2.3.1</w:t>
      </w:r>
    </w:p>
    <w:p>
      <w:r>
        <w:t>Die Vorinstanz hat weiter erwogen, dass die D.________ AG dem Versicherten seit Beginn des Arbeitsverhältnisses am 1. September 2011 neben dem regelmässig erhöhten Lohn bis zum Jahr 2014 auch Boni auszahlte (Fr. 1'000.- im September 2012, Fr. 500.- im Mai 2013, Fr. 1'000.- im April 2014), die zu dem festzusetzenden hypothetischen Invalideneinkommen (Fr. 5'400.- x 13 = Fr. 70'200.-) anteilsmässig (Fr. 1'000.- pro Jahr [recte: Fr. 833.30]) hinzurechnen seien (Fr. 71'200.- [recte: Fr. 70'033.30]). Laut Angaben der B.________ GmbH vom 20. März 2015 hätte der Versicherte im Jahr 2014 einen Lohn von Fr. 77'740.- (Fr. 5'980.- x 13) erzielen können. Aus der Gegenüberstellung der Vergleichseinkommen resultiere ein Invaliditätsgrad von 8.4 % (recte: 8.6 %), der unter dem Schwellenwert von 10 % gemäss Art. 18 Abs. 1 UVG liege, weshalb kein Anspruch auf Invalidenrente mehr bestanden habe.</w:t>
      </w:r>
    </w:p>
    <w:p>
      <w:r>
        <w:rPr>
          <w:b/>
        </w:rPr>
        <w:t>E. 2.3.2</w:t>
      </w:r>
    </w:p>
    <w:p>
      <w:r>
        <w:t>Der Beschwerdeführer bringt zunächst vor, er hätte bei der B.________ GmbH Lohnerhöhungen entsprechend der Invalidenkarriere bei der D.________ AG erreichen können. Aus den Akten ergeben sich dafür jedoch keine Anhaltspunkte, wie die Vorinstanz unter Hinweis auf die Rechtsprechung zutreffend festgestellt hat. Vielmehr ist davon auszugehen, dass der Anfangslohn bei der D.________ AG vorerst tief angesetzt wurde, um ihn - sollte sich der Versicherte bewähren - Jahr für Jahr zu erhöhen. Für diesen Umstand spricht, dass sie gemäss dem vorinstanzlich aufgelegten Lohnausweis auch für das Jahr 2015 erneut einen weiteren substantiellen Lohnanstieg (ohne Bonus) gewährte.</w:t>
      </w:r>
    </w:p>
    <w:p>
      <w:r>
        <w:rPr>
          <w:b/>
        </w:rPr>
        <w:t>E. 2.3.3.1</w:t>
      </w:r>
    </w:p>
    <w:p>
      <w:r>
        <w:t>Sodann macht der Beschwerdeführer geltend, dass ihm mit dem am 31. August 2011 mit der D.________ AG abgeschlossenen Arbeitsvertrag kein Anspruch auf Entrichtung eines Bonus eingeräumt wurde. Gemäss Lohnausweis für das Jahr 2015 sei ihm denn auch kein Bonus mehr entrichtet worden. Daraus sei ohne Weiteres zu schliessen, dass die Arbeitgeberin nicht regelmässig Boni auszahle, weshalb sie entgegen der Auffassung des kantonalen Gerichts bei der Bestimmung des Invalideneinkommens nicht einbezogen werden dürften. Ohne Berücksichtigung der Boni liege der Invaliditätsgrad bei 9.18 %, sodass dessen Änderung zum früher festgestellten Invaliditätsgrad von 14 % unter 5 % betrage und damit revisionsrechtlich unerheblich sei.</w:t>
      </w:r>
    </w:p>
    <w:p>
      <w:r>
        <w:rPr>
          <w:b/>
        </w:rPr>
        <w:t>E. 2.3.3.2</w:t>
      </w:r>
    </w:p>
    <w:p>
      <w:r>
        <w:t>Nach der Rechtsprechung wird bei den prozentgenauen Renten (Unfallversicherung nach UVG, Militärversicherung) Erheblichkeit einer Änderung angenommen, wenn eine absolute Veränderung von 5 % eintritt, wobei aber bei über 50 % liegenden Invaliditätsgraden kumulativ eine Veränderung von mindestens 10 % verlangt wird. Somit ist die Grenze der Erheblichkeit bei einem niedrigen Invaliditätsgrad in absoluten Prozentzahlen tiefer als bei einem hohen Invaliditätsgrad ( BGE 138 V 41 E. 4.7 S. 49; 133 V 545 E. 2 S. 567; je mit Hinweisen). Mit der rentenzusprechenden Verfügung vom 19. Dezember 2011 hatte die SUVA einen Invaliditätsgrad von 14.42 % ermittelt. Verglichen mit dem gemäss Auffassung des Beschwerdeführers neu auf 9.18 % zu bestimmenden Invaliditätsgrad, ergibt sich ein Wert von 5.24 %, weshalb die Vorinstanz zu Recht von einer erheblichen Veränderung ausgegangen ist.</w:t>
      </w:r>
    </w:p>
    <w:p>
      <w:r>
        <w:rPr>
          <w:b/>
        </w:rPr>
        <w:t>E. 3</w:t>
      </w:r>
    </w:p>
    <w:p>
      <w:r>
        <w:t>Was die von der SUVA geltend gemachte Meldepflichtverletzung anbelangt, wird auf die Erwägungen des angefochtenen Entscheids verwiesen, welchen das Bundesgericht nichts beizufügen hat. Der Beschwerdeführer wird daher die der Höhe nach nicht bestrittene Rückerstattungsforderung der SUVA von Fr. 10'596.70 zu begleichen haben.</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