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8C_474/2025 vom 14. Oktober 2025</w:t>
      </w:r>
    </w:p>
    <w:p>
      <w:r>
        <w:t>Bundesgericht, 2025-10-14, DE</w:t>
      </w:r>
    </w:p>
    <w:p>
      <w:r>
        <w:rPr>
          <w:b/>
        </w:rPr>
        <w:t xml:space="preserve">Quelle: </w:t>
      </w:r>
      <w:r>
        <w:t>https://mcp.opencaselaw.ch/entscheid/bger_8C_474_2025</w:t>
      </w:r>
    </w:p>
    <w:p>
      <w:r>
        <w:t>FR: TF 8C_474/2025 du 14 octobre 2025</w:t>
      </w:r>
    </w:p>
    <w:p>
      <w:r>
        <w:t>IT: TF 8C_474/2025 del 14 ottobre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Neue Tatsachen und Beweismittel dürfen nur soweit vorgebracht werden, als erst der Entscheid der Vorinstanz dazu Anlass gibt ( Art. 99 Abs. 1 BGG ), was in der Beschwerde näher darzulegen ist ( BGE 133 III 393 E. 3). Bei Tatsachen und Beweismitteln, welche die einlegende Partei bereits vor Vorinstanz hätte einbringen können und gestützt auf die ihr bei der Sachverhaltsermittlung obliegende, sich aus Treu und Glauben ( Art. 5 Abs. 3 BV ) ergebende Mitwirkungspflicht auch hätte ins Recht legen müssen, ist es nicht das vorinstanzliche Urteil, das erstmals Anlass zu einem derartigen Vorbringen gibt. Entsprechende Eingaben finden letztinstanzlich keine Berücksichtigung.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Mit Zwischenverfügung vom 22. Juli 2025 lehnte das Bundesverwaltungsgericht das Gesuch des Beschwerdeführers um unentgeltliche Rechtspflege im Verfahren gegen die Verfügung der IV-Stelle für Versicherte im Ausland IVSTA vom 6. Februar 2025 mangels Nachweises der Mittellosigkeit ab. Dabei forderte es den Gesuchsteller auf, innert gesetzter Frist einen Kostenvorschuss von Fr. 800.- zu leisten, andernfalls auf die Beschwerde nicht eingetreten werde.</w:t>
      </w:r>
    </w:p>
    <w:p>
      <w:r>
        <w:rPr>
          <w:b/>
        </w:rPr>
        <w:t>E. 3</w:t>
      </w:r>
    </w:p>
    <w:p>
      <w:r>
        <w:t>Der Beschwerdeführer zeigt nicht auf, inwiefern die von der Vorinstanz in diesem Zusammenhang getroffenen Sachverhaltsfeststellungen offensichtlich unrichtig (vgl. Art. 97 Abs. 1 BGG ; Urteil 8C_220/2024 vom 4. Oktober 2024 E. 2.1 mit Hinweisen)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um Nachsicht zu ersuchen, weil er die vorinstanzliche Aufforderung vom 2. April 2025 nicht richtig verstanden habe, wonach das Formular "Gesuch um unentgeltliche Rechtspflege" ausgefüllt und mit den nötigen Beweismitteln versehen beim Bundesverwaltungsgericht innert gesetzter Frist einzureichen sei, reicht nicht aus. Soweit er das vor Vorinstanz Versäumte im Beschwerdeverfahren nachzuholen versucht, erweist sich dies als verspätet ( Art. 99 BGG ; E. 1 zweiter Absatz hiervor). Solche Belege sind von Vornherein nicht geeignet aufzuzeigen, inwiefern die von der Vorinstanz vorgenommene Würdigung der Akten rechtsfehlerhaft gewesen sein soll.</w:t>
      </w:r>
    </w:p>
    <w:p>
      <w:r>
        <w:rPr>
          <w:b/>
        </w:rPr>
        <w:t>E. 4</w:t>
      </w:r>
    </w:p>
    <w:p>
      <w:r>
        <w:t>Erweist sich die Beschwerde insgesamt als offensichtlich unzureichend begründet, so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