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8C_473/2014 vom 7. Oktober 2014</w:t>
      </w:r>
    </w:p>
    <w:p>
      <w:r>
        <w:t>Bundesgericht, 2014-10-07, DE</w:t>
      </w:r>
    </w:p>
    <w:p>
      <w:r>
        <w:rPr>
          <w:b/>
        </w:rPr>
        <w:t xml:space="preserve">Quelle: </w:t>
      </w:r>
      <w:r>
        <w:t>https://mcp.opencaselaw.ch/entscheid/bger_8C_473_2014</w:t>
      </w:r>
    </w:p>
    <w:p>
      <w:r>
        <w:t>FR: TF 8C_473/2014 du 7 octobre 2014</w:t>
      </w:r>
    </w:p>
    <w:p>
      <w:r>
        <w:t>IT: TF 8C_473/2014 del 7 ottobre 2014</w:t>
      </w:r>
    </w:p>
    <w:p>
      <w:pPr>
        <w:pStyle w:val="Heading2"/>
      </w:pPr>
      <w:r>
        <w:t>Erwägungen</w:t>
      </w:r>
    </w:p>
    <w:p>
      <w:r>
        <w:rPr>
          <w:b/>
        </w:rPr>
        <w:t>E. 1</w:t>
      </w:r>
    </w:p>
    <w:p>
      <w:r>
        <w:t>Die Beschwerde in öffentlich-rechtlichen Angelegenheiten kann wegen Rechtsverletzungen gemäss Art. 95 und Art. 96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Wird die zweifellose Unrichtigkeit der ursprünglichen Rentenverfügung erst vom Gericht festgestellt, kann dieses ein (zu Unrecht) auf Art. 17 ATSG gestütztes Rückkommen mit dieser substituierten Begründung schützen ( BGE 125 V 368 E. 2 S. 369; SVR 2011 IV Nr. 20 S. 53, 9C_303/2010 E. 4.3). Vorausgesetzt ist wie immer bei der Wiedererwägung, dass kein vernünftiger Zweifel an der Unrichtigkeit der Verfügung möglich, also nur dieser einzige Schluss denkbar ist. Dies trifft in der Regel zu, wenn eine Leistungszusprechung aufgrund falscher Rechtsregeln erfolgte oder wenn massgebliche Bestimmungen nicht oder unrichtig angewandt wurden. Soweit indessen ermessensgeprägte Teile der Anspruchsprüfung vor dem Hintergrund der Sach- und Rechtslage einschliesslich der Rechtspraxis im Zeitpunkt der rechtskräftigen Leistungszusprechung ( BGE 125 V 383 E. 3 S. 389) in vertretbarer Weise beurteilt worden sind, scheidet die Annahme zweifelloser Unrichtigkeit aus (vgl. Urteil 9C_121/2014 vom 3. September 2014 E. 3.2.1).</w:t>
      </w:r>
    </w:p>
    <w:p>
      <w:r>
        <w:rPr>
          <w:b/>
        </w:rPr>
        <w:t>E. 3.1</w:t>
      </w:r>
    </w:p>
    <w:p>
      <w:r>
        <w:t>Die Vorinstanz stellt in Würdigung der Arztberichte, welche im Zeitpunkt der Rentenverfügung vom 12. Mai 2003 vorlagen und Angaben zur Arbeitsfähigkeit enthielten, fest, die Aktenlage sei damals widersprüchlich gewesen und habe keine genügende Grundlage für eine Rentenzusprache gebildet. Weitere Abklärungen wären deshalb unabdingbar gewesen. Für die Ermittlung des Invaliditätsgrades habe die IV-Stelle allein von der Arbeitsfähigkeit in der bisherigen Tätigkeit - ohne Prüfung der Arbeitsfähigkeit in einer leidensangepassten Beschäftigung - auf einen Invaliditätsgrad von 50 % geschlossen, womit sie von einem rechtlich falschen Invaliditätsbegriff ausgegangen sei. Die Rentenzusprache sei rechtsfehlerhaft erfolgt und der Verwaltungsakt vom 12. Mai 2003 sei demnach zweifellos unrichtig im wiedererwägungsrechtlichen Sinn. Da auch das Erfordernis der erheblichen Bedeutung der Berichtigung zu bejahen sei, müsse ex nunc et pro futuro auf die Verfügung zurückgekommen werden.</w:t>
      </w:r>
    </w:p>
    <w:p>
      <w:r>
        <w:rPr>
          <w:b/>
        </w:rPr>
        <w:t>E. 3.2</w:t>
      </w:r>
    </w:p>
    <w:p>
      <w:r>
        <w:t>Die Beschwerdeführerin bringt dagegen vor, in den der Rentenverfügung vom 12. Mai 2003 zugrunde liegenden ärztlichen Berichten werde entgegen der Auffassung der Vorinstanz sehr wohl auch die Arbeitsfähigkeit in einer angepassten Tätigkeit "betrachtet und beurteilt". Es kann ihr insoweit beigepflichtet werden, dass sich dazu zwar tatsächlich vereinzelte Angaben in den Akten finden. Allerdings wird im angefochtenen Entscheid einlässlich dargelegt, weshalb auf diese Einschätzungen offensichtlich nicht hätte abgestellt werden können und dürfen: Einerseits weist das kantonale Gericht auf die widersprüchlichen Ausführungen des Hausarztes Dr. med. D.________, Allgemeine Medizin FMH, hin, wonach die Beibehaltung der 50%igen Anstellung "im eigenen Betrieb" am sinnvollsten und jede andere Tätigkeit nicht zumutbar sei (Bericht vom 11. Februar 2003), andererseits legt es dar, dass die - ohnehin nicht abschliessende - Stellungnahme der Berufsabklärer der Rehaklinik E.________ im Austrittsbericht vom 3. September 2002, welche mit Blick darauf, dass eine vierstündige, vorwiegend im Sitzen zu verrichtende Beschäftigung nur mit Mühe habe durchgehalten werden können, die Weiterführung des 50%igen Pensums als Konditorin, die Durchführung eines Therapieprogramms zur Steigerung der Arbeitsfähigkeit sowie - bei Ausbleiben der erforderlichen Leistungssteigerung - eine Ausbildung im kaufmännischen Bereich empfohlen hatten, bezüglich einer alternativen Erwerbstätigkeit lückenhaft sei. Die Argumentation der Versicherten, die 50%ige Arbeitsunfähigkeit gelte nicht nur für die angestammte, sondern mindestens auch für eine andere Beschäftigung, weil die Rehaklinik E.________ festgestellt habe, dass sich die Beschwerden "in einer anderen Tätigkeit als jener der Konditorin noch verstärkten", ist nicht stichhaltig. Denn es kann nicht übersehen werden, dass die Berufsabklärer der Rehaklinik als Nichtmediziner bei Ausbleiben der erforderlichen Leistungssteigerung nach Durchführung des Therapieprogramms eine Ausbildung im kaufmännischen Bereich vorgeschlagen hatten.</w:t>
      </w:r>
    </w:p>
    <w:p>
      <w:r>
        <w:t>Da es somit an hinreichend sorgfältigen und aussagekräftigen Abklärungen zur Arbeitsfähigkeit in einer leidensangepassten Beschäftigung fehlte, ist die Rentenverfügung qualifiziert unrichtig (vgl. Urteil 9C_307/2011 vom 23. November 2011 E. 3.2 mit Hinweis). Die Kurzberichte des Hausarztes genügten nicht, zumal die attestierte 100%ige Einschränkung in jeglicher Beschäftigung - mit Ausnahme in derjenigen als Konditorin - nicht nachvollziehbar hergeleitet wurde. Entgegen der Ansicht der Versicherten vermag daran die Beurteilung des Regionalen Ärztlichen Dienstes (RAD) vom 17. April 2002, in welcher eine verminderte Belastbarkeit bei Fehlbildung der Wirbelsäule attestiert wird, nichts zu ändern. Daraus allein lassen sich zum allfälligen Ausmass einer Leistungseinschränkung in der angestammten oder in einer eventuell besser angepassten Beschäftigung keinerlei Schlüsse ableiten.</w:t>
      </w:r>
    </w:p>
    <w:p>
      <w:r>
        <w:rPr>
          <w:b/>
        </w:rPr>
        <w:t>E. 4</w:t>
      </w:r>
    </w:p>
    <w:p>
      <w:r>
        <w:t>Eine Aufhebung oder Herabsetzung des bisherigen Rentenanspruchs auf dem Weg einer Wiedererwägung setzt voraus, dass bis dahin keine Invalidität eingetreten ist (Urteile I 859/05 vom 10. Mai 2006 E. 2.3 und I 222/02 vom 19. Dezember 2002 E. 5.1). Dies ist anhand des (beweiswertigen; BGE 134 V 231 E. 5.1 S. 232) Gutachtens der Dres. med. B.________ und C.________ vom 17. November 2010 auszuschliessen. Danach ist die Beschwerdeführerin sowohl als Konditorin als auch in körperlich leichten Beschäftigungen zu 80 % arbeitsfähig. Ob die Experten, wie die Versicherte vorbringen lässt, gar nicht von einer zwischenzeitlichen Verbesserung des Gesundheitszustandes ausgehen, sondern den gleich gebliebenen medizinischen Sachverhalt und die daraus resultierende Arbeitsfähigkeit abweichend würdigen, kann dahingestellt bleiben, weil es in casu nicht (mehr) um eine revisionsweise Rentenanpassung geht. Die aktuelle Einschränkung der Arbeitsfähigkeit um 20 % entspricht hier grundsätzlich dem Invaliditätsgrad ( Art. 16 ATSG , Art. 28a IVG ; Urteil 9C_22/2014 vom 18. Februar 2014 E. 3.1), weil das Validen- und das Invalideneinkommen auf gleicher Grundlage zu bemessen sind. Auf eine Statusabklärung verzichtete die Vorinstanz mit der Begründung, die Einschränkung im Haushalt sei gemäss den bisherigen Abklärungen tiefer als diejenige im Erwerbsbereich, weshalb selbst unter Annahme einer vollen Erwerbstätigkeit im Gesundheitsfall kein Rentenanspruch bestehen würde. Dagegen bringt die Versicherte keine stichhaltigen Gründe vor, weshalb sich nicht beanstanden lässt, dass das kantonale Gericht ihr keine Gelegenheit mehr eingeräumt hatte, sich zur Statusfrage zu äussern. Somit ist der Vorinstanz beizupflichten, dass die am 31. Mai 2011 per Ende Juli 2011 verfügte Einstellung der Invalidenrente im Ergebnis rechtens ist.</w:t>
      </w:r>
    </w:p>
    <w:p>
      <w:r>
        <w:rPr>
          <w:b/>
        </w:rPr>
        <w:t>E. 5</w:t>
      </w:r>
    </w:p>
    <w:p>
      <w:r>
        <w:t>Zusammenfassend ergibt sich, dass die Einwendungen der Beschwerdeführerin nicht geeignet sind, die vorinstanzlichen Sachverhaltsfeststellungen als offensichtlich unrichtig, als Ergebnis willkürlicher Beweiswürdigung oder als rechtsfehlerhaft nach Art. 95 BGG erscheinen zu lassen, oder sonst wie eine Bundesrechtsverletzung zu begründen. Die Beschwerde ist offensichtlich unbegründet, weshalb sie im vereinfachten Verfahren nach Art. 109 Abs. 2 lit. a BGG - ohne Durchführung eines Schriftenwechsels - erledigt wird.</w:t>
      </w:r>
    </w:p>
    <w:p>
      <w:r>
        <w:rPr>
          <w:b/>
        </w:rPr>
        <w:t>E. 6</w:t>
      </w:r>
    </w:p>
    <w:p>
      <w:r>
        <w:t>Das Gesuch um Gewährung der unentgeltlichen Rechtspflege wird infolge Aussichtslosigkeit der Beschwerde abgewiesen ( Art. 64 Abs. 1 BGG ). Dem Ausgang des Verfahrens entsprechend hat die Beschwerdeführerin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