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472/2007 vom 9. Juni 2008</w:t>
      </w:r>
    </w:p>
    <w:p>
      <w:r>
        <w:t>Bundesgericht, 2008-06-09, FR</w:t>
      </w:r>
    </w:p>
    <w:p>
      <w:r>
        <w:rPr>
          <w:b/>
        </w:rPr>
        <w:t xml:space="preserve">Quelle: </w:t>
      </w:r>
      <w:r>
        <w:t>https://mcp.opencaselaw.ch/entscheid/bger_8C_472_2007</w:t>
      </w:r>
    </w:p>
    <w:p>
      <w:r>
        <w:t>FR: TF 8C 472/2007 du 9 juin 2008</w:t>
      </w:r>
    </w:p>
    <w:p>
      <w:r>
        <w:t>IT: TF 8C 472/2007 del 9 giugno 2008</w:t>
      </w:r>
    </w:p>
    <w:p>
      <w:pPr>
        <w:pStyle w:val="Heading2"/>
      </w:pPr>
      <w:r>
        <w:t>Regeste</w:t>
      </w:r>
    </w:p>
    <w:p>
      <w:r>
        <w:t>Assurance-accidents | Assurance-accidents</w:t>
      </w:r>
    </w:p>
    <w:p>
      <w:pPr>
        <w:pStyle w:val="Heading2"/>
      </w:pPr>
      <w:r>
        <w:t>Erwägungen</w:t>
      </w:r>
    </w:p>
    <w:p>
      <w:r>
        <w:rPr>
          <w:b/>
        </w:rPr>
        <w:t>E. 1</w:t>
      </w:r>
    </w:p>
    <w:p>
      <w:r>
        <w:t>Dans la procédure de recours concernant l'octroi ou le refus de prestations en espèces de l'assurance-accidents ou de l'assurance militaire, le Tribunal fédéral n'est pas lié par l'état de fait constaté par la juridiction précédente (art. 97 al. 2 et 105 al. 3 LTF). 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2.1</w:t>
      </w:r>
    </w:p>
    <w:p>
      <w:r>
        <w:t>Selon l' art. 24 LAA ,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(al. 2).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w:t>
      </w:r>
    </w:p>
    <w:p>
      <w:r>
        <w:rPr>
          <w:b/>
        </w:rPr>
        <w:t>E. 2.2</w:t>
      </w:r>
    </w:p>
    <w:p>
      <w:r>
        <w:t>Selon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 ATF 133 V 224 consid. 2 p. 227).</w:t>
      </w:r>
    </w:p>
    <w:p>
      <w:r>
        <w:rPr>
          <w:b/>
        </w:rPr>
        <w:t>E. 2.3</w:t>
      </w:r>
    </w:p>
    <w:p>
      <w:r>
        <w:t>L'indemnité pour atteinte à l'intégrité est allouée sous forme d'une prestation en capital. Elle ne doit pas excéder le montant maximum du gain annuel assuré à l'époque de l'accident et elle est échelonnée selon la gravité de l'atteinte à l'intégrité ( art. 25 al. 1 LAA ).</w:t>
      </w:r>
    </w:p>
    <w:p>
      <w:r>
        <w:rPr>
          <w:b/>
        </w:rPr>
        <w:t>E. 3.1</w:t>
      </w:r>
    </w:p>
    <w:p>
      <w:r>
        <w:t>Pour fixer le taux de l'indemnité pour atteinte à l'intégrité en ce qui concerne l'épaule gauche, les premiers juges se sont fondés sur les rapports du médecin d'arrondissement des 7 et 8 février 2006. Ce dernier a estimé à 15 % le taux d'atteinte à l'intégrité pour une épaule mobile jusqu'à l'horizontal en fonction de la table 1.2 (de la CNA: taux d'atteinte à l'intégrité résultant de troubles fonctionnels des membres supérieurs).</w:t>
      </w:r>
    </w:p>
    <w:p>
      <w:r>
        <w:rPr>
          <w:b/>
        </w:rPr>
        <w:t>E. 3.2</w:t>
      </w:r>
    </w:p>
    <w:p>
      <w:r>
        <w:t>Le recourant conteste le montant de l'indemnité pour atteinte à l'intégrité fixé par l'intimée et les premiers juges, au motif qu'il ne subit pas une simple limitation de la mobilité de l'épaule gauche, mais une gêne fonctionnelle beaucoup plus importante qui le limite dans les actes de la vie quotidienne. Lorsqu'il fait le moindre effort, il ressent des douleurs persistantes à la face antérieure de l'épaule gauche. Ces douleurs surviennent en particulier lorsqu'il marche et que son bras gauche se balance ou aussi après qu'il a mangé. Ces douleurs revêtent parfois une intensité telle qu'elles l'empêchent de dormir. En position allongée, s'il se trouve sur le côté gauche, des douleurs supplémentaires apparaissent. Hormis cette symptomatologie douloureuse, le recourant se dit diminué lorsqu'il est, pour certaines activités de la vie quotidienne, totalement dépendant de l'aide de ses proches. C'est ainsi qu'il ne peut pas passer un pull ou une chemise seul, ni prendre une douche sans l'assistance d'un tiers.</w:t>
      </w:r>
    </w:p>
    <w:p>
      <w:r>
        <w:rPr>
          <w:b/>
        </w:rPr>
        <w:t>E. 3.3</w:t>
      </w:r>
    </w:p>
    <w:p>
      <w:r>
        <w:t>L'annexe 3 à l'OLAA comporte un barème des atteintes à l'intégrité en pour cent du montant maximum du gain assuré. Ce barème - reconnu conforme à la loi - ne constitue pas une énumération exhaustive ( ATF 124 V 29 consid. 1b p. 32, 209 consid. 4a/bb p. 210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CNA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 ATF 124 V 29 consid. 1c p.32 sv., 209 consid. 4a/cc p. 211).</w:t>
      </w:r>
    </w:p>
    <w:p>
      <w:r>
        <w:rPr>
          <w:b/>
        </w:rPr>
        <w:t>E. 3.4</w:t>
      </w:r>
    </w:p>
    <w:p>
      <w:r>
        <w:t>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w:t>
      </w:r>
    </w:p>
    <w:p>
      <w:r>
        <w:rPr>
          <w:b/>
        </w:rPr>
        <w:t>E. 4</w:t>
      </w:r>
    </w:p>
    <w:p>
      <w:r>
        <w:t>Les motifs invoqués par ce dernier ne justifient pas que l'on s'écarte de ce taux : Une indemnité fondée sur un taux de 30 pour cent, que le recourant voudrait se voir allouer, à titre principal, correspondrait à une épaule totalement bloquée en adduction. Les premiers juges se réfèrent par ailleurs à juste titre à l'arrêt du 23 juin 2003, U 192/02, dans lequel le Tribunal fédéral des assurances n'a pas retenu un taux supérieur à 15 pour cent dans le cas d'un assuré présentant une atteinte semblable à celle du recourant. Contrairement à ce que soutient le recourant, le fait qu'en l'espèce l'incapacité de gain est supérieure à celle reconnue dans cet arrêt à l'assuré concerné n'est pas déterminant. La fixation de l'indemnité pour atteinte à l'intégrité dépend en effet uniquement de facteurs médicaux objectifs valables pour tous les assurés, sans égard à des considérations d'ordre subjectif ou personnel; elle n'est d'aucune manière liée à l'importance de l'incapacité de gain qu'elle est susceptible ou non d'entraîner ( ATF 113 V 218 consid. 4a p. 221). Quant au fait que le recourant, selon ses déclarations au docteur E.________, continue à ressentir des douleurs à la face antérieure de l'épaule qui se manifestent lors des mouvements ou d'efforts ou encore la nuit lorsqu'il se tourne, il est intrinsèquement lié à la diminution de la mobilité provoquée par la nature même de l'atteinte et ne saurait dès lors justifier une augmentation du taux de l'indemnisation (voir également l'arrêt U 192/02 précité, dans lequel le handicap de l'assuré s'accompagnait de certaines douleurs). Enfin, comme le relèvent les premiers juges, les gênes fonctionnelles dont souffre le recourant sont pour une part notable dues à la paralysie de son membre supérieur droit, consécutive à l'accident survenu en 1979. Cet accident - qui a laissé subsisté des séquelles sans rapport avec l'atteinte à l'épaule gauche - a donné naissance à des prestations régies par la LAMA. Cette loi ne connaissait pas l'indemnité pour atteinte à l'intégrité, qui a été introduite par la LAA, entrée en vigueur le 1er janvier 1984. Il n'y a donc pas lieu de tenir compte des suites de cet accident qui existaient au 31 décembre 2003 ( art. 118 al. 2 let . c LAA; voir Thomas Frei, Die Integritätsentschädigung nach Art. 24 und 25 nach dem Bundesgesetz über die Unfallversicherung, thèse Fribourg 1997, p. 132 sv.).</w:t>
      </w:r>
    </w:p>
    <w:p>
      <w:r>
        <w:rPr>
          <w:b/>
        </w:rPr>
        <w:t>E. 5</w:t>
      </w:r>
    </w:p>
    <w:p>
      <w:r>
        <w:t>Vu ce qui précède, les griefs du recourant sont infondés, ce qui entraîne le rejet de ses conclusions. Il supportera les frais de procédure,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