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46/2009 vom 24. August 2009</w:t>
      </w:r>
    </w:p>
    <w:p>
      <w:r>
        <w:t>Bundesgericht, 2009-08-24, FR</w:t>
      </w:r>
    </w:p>
    <w:p>
      <w:r>
        <w:rPr>
          <w:b/>
        </w:rPr>
        <w:t xml:space="preserve">Quelle: </w:t>
      </w:r>
      <w:r>
        <w:t>https://mcp.opencaselaw.ch/entscheid/bger_8C_46_2009</w:t>
      </w:r>
    </w:p>
    <w:p>
      <w:r>
        <w:t>FR: TF 8C 46/2009 du 24 août 2009</w:t>
      </w:r>
    </w:p>
    <w:p>
      <w:r>
        <w:t>IT: TF 8C 46/2009 del 24 agosto 2009</w:t>
      </w:r>
    </w:p>
    <w:p>
      <w:pPr>
        <w:pStyle w:val="Heading2"/>
      </w:pPr>
      <w:r>
        <w:t>Regeste</w:t>
      </w:r>
    </w:p>
    <w:p>
      <w:r>
        <w:t>Droit de la fonction publique | Fonction publique</w:t>
      </w:r>
    </w:p>
    <w:p>
      <w:pPr>
        <w:pStyle w:val="Heading2"/>
      </w:pPr>
      <w:r>
        <w:t>Erwägungen</w:t>
      </w:r>
    </w:p>
    <w:p>
      <w:r>
        <w:rPr>
          <w:b/>
        </w:rPr>
        <w:t>E. 1</w:t>
      </w:r>
    </w:p>
    <w:p>
      <w:r>
        <w:t>Le Tribunal fédéral examine d'office la recevabilité des recours qui lui sont soumis ( ATF 134 III 115 consid. 1 p. 117 et les arrêts cités).</w:t>
      </w:r>
    </w:p>
    <w:p>
      <w:r>
        <w:rPr>
          <w:b/>
        </w:rPr>
        <w:t>E. 2.1</w:t>
      </w:r>
    </w:p>
    <w:p>
      <w:r>
        <w:t>Le recours est dirigé contre une décision finale ( art. 90 LTF ) prise en dernière instance cantonale ( art. 86 al. 1 let . d LTF) dans le domaine des rapports de travail de droit public ( art. 82 let. a LTF ).</w:t>
      </w:r>
    </w:p>
    <w:p>
      <w:r>
        <w:rPr>
          <w:b/>
        </w:rPr>
        <w:t>E. 2.2</w:t>
      </w:r>
    </w:p>
    <w:p>
      <w:r>
        <w:t>Selon l' art. 83 let . g LTF, en matière de rapports de travail de droit public (lorsque, comme en l'espèce, la question de l'égalité des sexes n'est pas en cause), le recours en matière de droit public est irrecevable contre des décisions qui concernent une contestation non pécuniaire. Le recourant ne conclut pas au versement d'une somme d'argent, mais conteste implicitement son licenciement et demande sa réintégration dans sa fonction d'enseignant primaire. Un tel litige a partiellement un but économique et son objet peut être apprécié en argent, si bien qu'il s'agit d'une contestation de nature pécuniaire (cf. arrêts 1C_547/2008 du 23 février 2009 consid. 2.1; 1C_116/2007 du 24 septembre 2007 consid. 2). Le motif d'exclusion de l' art. 83 let . g LTF n'entre ainsi pas en considération.</w:t>
      </w:r>
    </w:p>
    <w:p>
      <w:r>
        <w:rPr>
          <w:b/>
        </w:rPr>
        <w:t>E. 2.3</w:t>
      </w:r>
    </w:p>
    <w:p>
      <w:r>
        <w:t>Pour que le recours soit recevable, il faut encore en principe que la valeur litigieuse minimale de 15'000 fr. soit atteinte ( art. 85 al. 1 let. b LTF ). Si les conclusions ne tendent pas au paiement d'une somme d'argent déterminée, le Tribunal fédéral fixe la valeur litigieuse selon son appréciation ( art. 51 al. 2 LTF ). Comme la contestation porte potentiellement sur un salaire de plusieurs mois au moins, on peut admettre que la valeur litigieuse atteint le seuil des 15'000 francs ouvrant la voie du recours en matière de droit public dans ce domaine.</w:t>
      </w:r>
    </w:p>
    <w:p>
      <w:r>
        <w:rPr>
          <w:b/>
        </w:rPr>
        <w:t>E. 3</w:t>
      </w:r>
    </w:p>
    <w:p>
      <w:r>
        <w:t>En principe la production de nouvelles écritures après l'échéance du délai de recours n'est pas admissible, sauf à l'occasion d'un échange d'écritures ordonné par le Tribunal fédéral ( art. 102 LTF ). Tel n'a pas été le cas en l'espèce, de sorte que les écritures produites par le recourant au-delà du 2 février 2009 ne peuvent être prises en considération dans le cadre de la présente procédure.</w:t>
      </w:r>
    </w:p>
    <w:p>
      <w:r>
        <w:rPr>
          <w:b/>
        </w:rPr>
        <w:t>E. 4</w:t>
      </w:r>
    </w:p>
    <w:p>
      <w:r>
        <w:t>Aux termes de l' art. 106 al. 2 LTF , le Tribunal fédéral n'examine la violation de droits fondamentaux ainsi que celle de dispositions de droit cantonal, que si ce grief a été invoqué et motivé par le recourant. L'acte de recours doit, sous peine d'irrecevabilité, contenir un exposé succinct des droits constitutionnels ou des principes juridiques violés et préciser en quoi consiste la violation ( ATF 133 II 249 consid. 1.4.2 p. 254, 133 III 393 consid. 6 p. 397). Lorsqu'il est saisi d'un recours, le Tribunal fédéral n'a donc pas à vérifier de lui-même si l'arrêt entrepris est en tous points conforme au droit et à l'équité.</w:t>
      </w:r>
    </w:p>
    <w:p>
      <w:r>
        <w:rPr>
          <w:b/>
        </w:rPr>
        <w:t>E. 5</w:t>
      </w:r>
    </w:p>
    <w:p>
      <w:r>
        <w:t>Les mémoires - déposés en temps utile - du recourant ignorent dans une très large mesure ces exigences de motivation : les arguments sont présentés de manière embrouillée et difficilement compréhensible. On peut néanmoins en déduire que le principal grief de A.________ relève du droit d'être entendu. Plus particulièrement, il semble que le prénommé entende se plaindre d'une violation de son droit d'être entendu par la commission à l'occasion de la procédure de licenciement.</w:t>
      </w:r>
    </w:p>
    <w:p>
      <w:r>
        <w:rPr>
          <w:b/>
        </w:rPr>
        <w:t>E. 6</w:t>
      </w:r>
    </w:p>
    <w:p>
      <w:r>
        <w:t>Le droit d'être entendu, tel qu'il est garanti par l' art. 29 al. 2 Cst. , comprend notamment le droit de prendre connaissance du dossier et de s'exprimer sur les éléments pertinents avant qu'une décision ne soit prise, de produire des preuves pertinentes ou d'obtenir qu'il soit donné suite à ses offres de preuves pertinentes, de participer à l'administration de celles-ci ou de s'exprimer sur le résultat, lorsque cela est de nature à influer sur la décision à rendre ( ATF 129 II 497 consid. 2.2, p. 504 s.; 127 III 576 consid. 2c p. 578). A certaines conditions, le Tribunal fédéral admet la possibilité de réparer, après coup, une violation du droit d'être entendu, en particulier lorsque la décision entachée est couverte par une nouvelle décision qu'une autorité supérieure - jouissant d'un pouvoir d'examen aussi étendu - a prononcée après avoir donné à la partie lésée la possibilité d'exercer effectivement son droit d'être entendue ( ATF 126 I 68 consid. 2 p. 72; 118 Ib 111 consid. 4b p. 120/121).</w:t>
      </w:r>
    </w:p>
    <w:p>
      <w:r>
        <w:rPr>
          <w:b/>
        </w:rPr>
        <w:t>E. 7</w:t>
      </w:r>
    </w:p>
    <w:p>
      <w:r>
        <w:t>Il résulte du dossier que l'intimée a donné la possibilité au recourant de s'exprimer sur l'ouverture d'une procédure de licenciement à son encontre et que celui-ci en a fait usage dans une lettre du 19 août 2005. Dans cette lettre, le recourant a contesté le reproche d'incapacité professionnelle qui lui était fait et requis l'audition d'un certain nombre de témoins ainsi que l'intervention d'un expert, faisant valoir que l'enquête établie par B.________ avait été conduite de manière unilatérale. La commission n'a pas fait droit à cette requête. Elle a prononcé le licenciement de A.________ après l'avoir entendu, une seconde fois, à l'occasion d'une séance du 17 mai 2006. Saisi d'un recours de l'intéressé contre la décision sur opposition de l'intimée, le Tribunal de première instance a repris l'instruction de la cause ab ovo. Les parties ont été invitées à présenter leurs arguments et à offrir leurs preuves. Donnant suite à la demande d'expertise du recourant, le tribunal précité a mandaté R.________, ancien conseiller pédagogique, avec pour mission d'examiner le bien-fondé du reproche d'incapacité professionnelle et de procéder à une évaluation globale de la situation. Le recourant a eu la possibilité de se déterminer sur l'expertise (ordonnance du 4 juillet 2007). Plusieurs témoins ont également été entendus par la Juge administrative. Enfin, devant le tribunal cantonal, le recourant a eu loisir de faire valoir ses arguments par écrit. Force est ainsi de constater que A.________ a été entendu à tous les stades de la procédure. Sous l'angle du droit d'administrer les preuves, on doit considérer qu'un éventuel vice commis par la commission a été réparé devant le Tribunal de première instance, autorité judiciaire qui dispose d'un pouvoir d'examen entier, et devant laquelle le recourant a pleinement pu exercer son droit d'être entendu. Le moyen soulevé se révèle ainsi mal fondé.</w:t>
      </w:r>
    </w:p>
    <w:p>
      <w:r>
        <w:rPr>
          <w:b/>
        </w:rPr>
        <w:t>E. 8</w:t>
      </w:r>
    </w:p>
    <w:p>
      <w:r>
        <w:t>Sur le fond, le recourant n'explique pas, par des griefs clairement présentés et démontrés conformément aux exigences de motivation accrues mentionnées ci-dessus (voir consid. 4 supra), en quoi le tribunal cantonal aurait interprété et appliqué arbitrairement la réglementation cantonale topique en confirmant le licenciement prononcé par l'intimée. Il n'y a dès lors pas lieu d'examiner plus avant les critiques vagues du recourant à cet égard et il sera renvoyé aux considérants pertinents de l'arrêt entrepris ( art. 109 al. 3 LTF ).</w:t>
      </w:r>
    </w:p>
    <w:p>
      <w:r>
        <w:rPr>
          <w:b/>
        </w:rPr>
        <w:t>E. 9</w:t>
      </w:r>
    </w:p>
    <w:p>
      <w:r>
        <w:t>Vu l'issue du litige, les frais judiciaires sont mis à la charge du recourant ( art. 66 al. 1 LTF ). Il n'est pas alloué de dépens à l'intimée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