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8C_467/2024 vom 5. September 2024</w:t>
      </w:r>
    </w:p>
    <w:p>
      <w:r>
        <w:t>Bundesgericht, 2024-09-05, DE</w:t>
      </w:r>
    </w:p>
    <w:p>
      <w:r>
        <w:rPr>
          <w:b/>
        </w:rPr>
        <w:t xml:space="preserve">Quelle: </w:t>
      </w:r>
      <w:r>
        <w:t>https://mcp.opencaselaw.ch/entscheid/bger_8C_467_2024</w:t>
      </w:r>
    </w:p>
    <w:p>
      <w:r>
        <w:t>FR: TF 8C_467/2024 du 5 septembre 2024</w:t>
      </w:r>
    </w:p>
    <w:p>
      <w:r>
        <w:t>IT: TF 8C_467/2024 del 5 settembre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20. Juni 2024 in Auseinandersetzung mit den Parteivorbringen und in Würdigung der Akten die durch die Beschwerdegegnerin am 16. September 2022 verfügte revisionsweise Aufhebung der bisher ausgerichteten Invalidenrente per Ende Oktober 2022.</w:t>
      </w:r>
    </w:p>
    <w:p>
      <w:r>
        <w:rPr>
          <w:b/>
        </w:rPr>
        <w:t>E. 3</w:t>
      </w:r>
    </w:p>
    <w:p>
      <w:r>
        <w:t>Die Beschwerdeführerin gelangt an das Bundesgericht, ohne dabei auch nur ansatzweise aufzuzeigen, inwiefern das vorinstanzliche Vorgehen auf einer offensichtlich unrichtigen Sachverhaltsfeststellung (vgl. Art. 97 Abs. 1 BGG ) beruhen oder die gestützt darauf ergangenen Erwägungen gegen Bundesrecht verstossen bzw. einen anderen Beschwerdegrund (vgl. Art. 95 lit. a-e BGG ) gesetzt haben könnten. Allein den Geschehensablauf und Gesundheitszustand aus eigener Sicht zu schildern und auf die finanziellen Verhältnisse zu verweisen,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