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467/2011 vom 21. Dezember 2011</w:t>
      </w:r>
    </w:p>
    <w:p>
      <w:r>
        <w:t>Bundesgericht, 2011-12-21, DE</w:t>
      </w:r>
    </w:p>
    <w:p>
      <w:r>
        <w:rPr>
          <w:b/>
        </w:rPr>
        <w:t xml:space="preserve">Quelle: </w:t>
      </w:r>
      <w:r>
        <w:t>https://mcp.opencaselaw.ch/entscheid/bger_8C_467_2011</w:t>
      </w:r>
    </w:p>
    <w:p>
      <w:r>
        <w:t>FR: TF 8C 467/2011 du 21 décembre 2011</w:t>
      </w:r>
    </w:p>
    <w:p>
      <w:r>
        <w:t>IT: TF 8C 467/2011 del 21 dicembre 2011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Versicherte für die Zeit vom 1. Juni 2004 bis 31. August 2006 ein höheres als das tatsächlich ausbezahlte Taggeld nachfordern kann.</w:t>
      </w:r>
    </w:p>
    <w:p>
      <w:r>
        <w:rPr>
          <w:b/>
        </w:rPr>
        <w:t>E. 3.1</w:t>
      </w:r>
    </w:p>
    <w:p>
      <w:r>
        <w:t>Die AXA macht vorab sinngemäss geltend, über die Höhe des Taggeldanspruches ab 1. Juni 2004 sei bereits mit Schreiben vom 30. Juni 2004 rechtskräftig entschieden worden. Bereits aus diesem Grund bestehe der vorinstanzliche Entscheid vom 4. Mai 2011 zu Unrecht. Die Versicherte entgegnet sinngemäss, diese Argumentation sei vom kantonalen Gericht bereits im Entscheid vom 3. August 2009 verworfen worden. Die Beschwerdeführerin habe diesen Entscheid damals nicht angefochten, weshalb es ihr heute verwehrt sei, sich auf das Schreiben vom 30. Juni 2004 zu berufen.</w:t>
      </w:r>
    </w:p>
    <w:p>
      <w:r>
        <w:rPr>
          <w:b/>
        </w:rPr>
        <w:t>E. 3.2</w:t>
      </w:r>
    </w:p>
    <w:p>
      <w:r>
        <w:t>Das kantonale Gericht hat am 3. August 2009 bezüglich der Leistungseinstellung auf den 1. September 2006 einen (Teil-)Endentscheid gefällt. Bezüglich des Taggeldanspruches für die Zeit vom 15. April 2003 bis 31. August 2006 hat es die AXA verpflichtet, eine anfechtbare Verfügung zu erlassen. Bezüglich des Taggeldes hat das kantonale Gericht damals mithin gerade keinen Endentscheid erlassen. Da dieser Entscheid weder die Zuständigkeit noch ein Ausstandsbegehren im Sinne von Art. 92 BGG betrifft, kann der Entscheid zusammen mit dem Endentscheid angefochten werden (vgl. Art. 93 Abs. 3 BGG ). Diese Möglichkeit besteht unabhängig davon, ob im Jahre 2009 eine Beschwerde überhaupt zulässig gewesen wäre; selbst wenn diese Frage zu bejahen wäre und die AXA von ihrer Befugnis keinen Gebrauch gemacht hat, so ist es ihr heute nicht versagt, sich vor Bundesgericht darauf zu berufen, die Herabsetzung des Taggeldes sei bereits rechtsbeständig.</w:t>
      </w:r>
    </w:p>
    <w:p>
      <w:r>
        <w:rPr>
          <w:b/>
        </w:rPr>
        <w:t>E. 4.1</w:t>
      </w:r>
    </w:p>
    <w:p>
      <w:r>
        <w:t>Über Leistungen, Forderungen und Anordnungen, die erheblich sind oder mit denen die betroffene Person nicht einverstanden ist, hat der Versicherungsträger gemäss Art. 49 Abs. 1 ATSG schriftlich Verfügungen zu erlassen. Leistungen, Forderungen und Anordnungen, die nicht unter Art. 49 Abs. 1 ATSG fallen, können in Anwendung von Art. 51 Abs. 1 ATSG in einem formlosen Verfahren behandelt werden. Die betroffene Person kann nach Art. 51 Abs. 2 ATSG den Erlass einer Verfügung verlangen.</w:t>
      </w:r>
    </w:p>
    <w:p>
      <w:r>
        <w:rPr>
          <w:b/>
        </w:rPr>
        <w:t>E. 4.2</w:t>
      </w:r>
    </w:p>
    <w:p>
      <w:r>
        <w:t>Erlässt ein Versicherer über eine Leistung, welche erheblich ist, zu Unrecht keine Verfügung, sondern erledigt er die Herabsetzung einer Leistung im formlosen Verfahren und ist die betroffene Person damit nicht einverstanden, hat sie dies grundsätzlich innerhalb eines Jahres zu erklären. Diesfalls hat der Versicherer eine Verfügung zu erlassen, gegen welche Einsprache erhoben werden kann. Ohne fristgerechte Intervention erlangt der Entscheid rechtliche Wirksamkeit, wie wenn er zulässigerweise im Rahmen von Art. 51 Abs. 1 ATSG ergangen wäre (vgl. BGE 134 V 145 E. 5.3.2 S. 153).</w:t>
      </w:r>
    </w:p>
    <w:p>
      <w:r>
        <w:rPr>
          <w:b/>
        </w:rPr>
        <w:t>E. 4.3</w:t>
      </w:r>
    </w:p>
    <w:p>
      <w:r>
        <w:t>Mit Schreiben vom 30. Juni 2004 teilte die Beschwerdeführerin der Versicherten mit, ab 1. Juni 2004 das Taggeld auf 30 % herabzusetzen. Dieses Schreiben hat die Versicherte tatsächlich erhalten, bedankte sie sich doch in ihrer Email vom 20. August 2004 unter anderem für die Bereitschaft der Versicherung, weiterhin ein Taggeld auszuzahlen. Am 10. Mai 2006 unterzeichnete sie vorbehaltlos ein Protokoll, in dem unter anderem die Weiterausrichtung eines 30 %-igen Taggeldes vorgesehen wurde. Ein höheres Taggeld forderte die Versicherte demgegenüber erstmals am 8. November 2006. Selbst wenn man - wie das kantonale Gericht in seinem Entscheid vom 3. August 2009 - davon ausgehen würde, die Versicherung habe die Herabsetzung des Taggeldes am 30. Juni 2004 zu Unrecht nicht in Verfügungsform gekleidet, so erweist sich doch die Intervention der Versicherten mehr als zwei Jahre später als verspätet.</w:t>
      </w:r>
    </w:p>
    <w:p>
      <w:r>
        <w:rPr>
          <w:b/>
        </w:rPr>
        <w:t>E. 4.4</w:t>
      </w:r>
    </w:p>
    <w:p>
      <w:r>
        <w:t>Somit ist die Herabsetzung des Taggeldes auf den 1. Juni 2004 grundsätzlich rechtskräftig. Dass sich der Gesundheitszustand aufgrund des Unfalles vom 1. Juli 2001 in der Zeit zwischen Juni 2004 und August 2006 verschlechtert hat, wird von der Beschwerdegegnerin zu Recht nicht geltend gemacht; sie stellt sich viel mehr auf den Eventualstandpunkt, diese Herabsetzung sei zweifellos unrichtig gewesen. Die zweifellose Unrichtigkeit einer rechtskräftigen Verfügung stellt einen Wiedererwägungsgrund im Sinne von Art. 53 Abs. 2 ATSG dar. Da jedoch die Wiedererwägung im pflichtgemässen Ermessen der Verwaltung steht und kein gerichtlich durchsetzbarer Anspruch darauf besteht ( BGE 133 V 50 E. 4.1 S. 52 und E. 4.2.1 S. 54, Urteil 8C_610/2010 vom 28. März 2011 E. 2.1), ist dieses Vorbringen nicht näher zu prüfen.</w:t>
      </w:r>
    </w:p>
    <w:p>
      <w:r>
        <w:rPr>
          <w:b/>
        </w:rPr>
        <w:t>E. 4.5</w:t>
      </w:r>
    </w:p>
    <w:p>
      <w:r>
        <w:t>Somit kann die Beschwerdeführerin von den Gerichten nicht gezwungen werden, ein höheres als das ausbezahlte Taggeld auszurichten. Der kantonale Entscheid besteht demgemäss zu Unrecht; die Beschwerde der Versicherung ist gutzuheissen. Da diese kein aktuelles und praktisches Interesse an der beantragten Aufhebung der Ziffer 1 Abs. 1 des Entscheides des Sozialversicherungsgerichts des Kantons Zürich vom 3. August 2009 hat, ist auf diesen Antrag nicht einzutreten (vgl. Art. 89 Abs. 1 lit. c BGG ).</w:t>
      </w:r>
    </w:p>
    <w:p>
      <w:r>
        <w:rPr>
          <w:b/>
        </w:rPr>
        <w:t>E. 5</w:t>
      </w:r>
    </w:p>
    <w:p>
      <w:r>
        <w:t>Bei diesem Verfahrensausgang rechtfertigt es sich, die Gerichtskosten der Beschwerdegegnerin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