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8C_465/2013 vom 4. März 2014</w:t>
      </w:r>
    </w:p>
    <w:p>
      <w:r>
        <w:t>Bundesgericht, 2014-03-04, FR</w:t>
      </w:r>
    </w:p>
    <w:p>
      <w:r>
        <w:rPr>
          <w:b/>
        </w:rPr>
        <w:t xml:space="preserve">Quelle: </w:t>
      </w:r>
      <w:r>
        <w:t>https://mcp.opencaselaw.ch/entscheid/bger_8C_465_2013</w:t>
      </w:r>
    </w:p>
    <w:p>
      <w:r>
        <w:t>FR: TF 8C_465/2013 du 4 mars 2014</w:t>
      </w:r>
    </w:p>
    <w:p>
      <w:r>
        <w:t>IT: TF 8C_465/2013 del 4 marzo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2.1</w:t>
      </w:r>
    </w:p>
    <w:p>
      <w:r>
        <w:t>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 p. 60).</w:t>
      </w:r>
    </w:p>
    <w:p>
      <w:r>
        <w:t>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247).</w:t>
      </w:r>
    </w:p>
    <w:p>
      <w:r>
        <w:rPr>
          <w:b/>
        </w:rPr>
        <w:t>E. 2.2</w:t>
      </w:r>
    </w:p>
    <w:p>
      <w:r>
        <w:t>En l'occurrence, comme le fait valoir l'intimée, le recourant reprend pratiquement mot pour mot l'argumentation qu'il a déjà développée dans son écriture destinée à la juridiction cantonale, de sorte que dans cette mesure, le recours en matière de droit public ne satisfait pas aux conditions de motivation requises.</w:t>
      </w:r>
    </w:p>
    <w:p>
      <w:r>
        <w:t>Cela étant, le mémoire de recours contient cependant deux griefs qui n'ont pas déjà été argumentés devant la juridiction cantonale. Le recourant reproche premièrement à la juridiction cantonale d'avoir omis de préciser qu'il était prioritaire et, deuxièmement, d'avoir conclu que le rapport d'expertise de Y.________ du 21 mars 2012 ne permettait pas d'inverser la présomption que l'accident ne serait pas survenu ou n'aurait pas eu les mêmes conséquences si l'assuré n'avait pas conduit en état d'ébriété. Seuls ces deux griefs sont admissibles dans la présente procédure.</w:t>
      </w:r>
    </w:p>
    <w:p>
      <w:r>
        <w:rPr>
          <w:b/>
        </w:rPr>
        <w:t>E. 3.1</w:t>
      </w:r>
    </w:p>
    <w:p>
      <w:r>
        <w:t>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 art. 21 al. 1 LPGA [RS 830.1]). Aux termes de l' art. 37 al. 3 LAA , si l'assuré a provoqué l'accident en commettant, non intentionnellement, un crime ou un délit, les prestations en espèces peuvent, en dérogation à l' art. 21 al. 1 LPGA , être réduites ou, dans les cas particulièrement graves, refusées (1</w:t>
      </w:r>
    </w:p>
    <w:p>
      <w:r>
        <w:t>ère phrase). Si l'assuré doit, au moment de l'accident, pourvoir à l'entretien de proches auxquels son décès ouvrirait le droit à une rente de survivants, les prestations en espèces sont réduites au plus de moitié (2</w:t>
      </w:r>
    </w:p>
    <w:p>
      <w:r>
        <w:t>ème phrase).</w:t>
      </w:r>
    </w:p>
    <w:p>
      <w:r>
        <w:rPr>
          <w:b/>
        </w:rPr>
        <w:t>E. 3.2</w:t>
      </w:r>
    </w:p>
    <w:p>
      <w:r>
        <w:t>Avant l'entrée en vigueur (le 1</w:t>
      </w:r>
    </w:p>
    <w:p>
      <w:r>
        <w:t>er janvier 2005) du nouvel art. 91 al. 1 LCR ([RS 741.01]), l'ancien Tribunal fédéral des assurances avait maintes fois confirmé la pratique des assureurs-accidents, notamment la Caisse nationale suisse d'assurance en cas d'accidents (CNA), qui faisait dépendre le taux de réduction du degré d'alcoolémie selon l'échelle suivante: entre 0,8 et 1,2 g o/oo, la réduction est de 20 pour cent; elle augmente de 10 pour cent pour chaque 0,4 g o/oo d'alcoolémie supplémentaire ( ATF 120 V 224 consid. 4c p. 231; RAMA 1996 n</w:t>
      </w:r>
    </w:p>
    <w:p>
      <w:r>
        <w:t>o U 263 p. 284 consid. 4; RAMA 1995 n</w:t>
      </w:r>
    </w:p>
    <w:p>
      <w:r>
        <w:t>o U 208 p. 24 consid. 3a). L'abaissement du taux limite d'alcoolémie à 0,5 gramme pour mille (cf. l'ordonnance du 21 mars 2003 de l'Assemblée fédérale concernant les taux d'alcoolémie limite admis en matière de circulation routière [RS 741. 13] et l' art. 91 al. 1 LCR ) n'a pas modifié cette pratique et la jurisprudence rendue à son propos reste donc valable ( JEAN-MAURICE FRÉSARD/MARGIT MOSER-SZELESS, in: Schweizerisches Bundesverwaltungsrecht [SBVR], Soziale Sicherheit, 2</w:t>
      </w:r>
    </w:p>
    <w:p>
      <w:r>
        <w:t>ème éd. 2007, n° 314 p. 935).</w:t>
      </w:r>
    </w:p>
    <w:p>
      <w:r>
        <w:t>La faute exclusive d'un tiers, découlant de la violation d'une ou de plusieurs règles de circulation, ne suffit pas encore pour nier tout lien objectif entre l'infraction d'ivresse au volant commise par l'assuré et l'accident. Un conducteur en état d'ébriété est entravé dans son aptitude à conduire par l'effet de l'alcool, qui amoindrit sa capacité de réaction. Pour juger du lien matériel entre l'acte délictueux et l'accident, il y a lieu de présumer que celui-ci ne serait pas survenu ou qu'il n'aurait pas eu les mêmes conséquences dans le cas d'un conducteur resté sobre. Cette présomption peut toutefois être renversée s'il apparaît, avec un degré de vraisemblance prépondérante, que l'état alcoolique n'a eu d'incidence ni sur la survenance de l'accident ni sur ses conséquences, autrement dit qu'aucune manoeuvre d'évitement n'aurait été possible même pour un conducteur en pleine possession de ses moyens. On peut entre autres exemples songer à un conducteur pris de boisson arrêté à un feu rouge et dont le véhicule est percuté à l'arrière par un autre véhicule (arrêt 8C_737/2009 du 27 août 2010 consid. 3.4).</w:t>
      </w:r>
    </w:p>
    <w:p>
      <w:r>
        <w:rPr>
          <w:b/>
        </w:rPr>
        <w:t>E. 4.1</w:t>
      </w:r>
    </w:p>
    <w:p>
      <w:r>
        <w:t>La cour cantonale a retenu que le comportement de l'assuré qui circulait au guidon de sa moto avec un taux d'alcoolémie moyen de 1,90 g/kg au moment de l'accident était constitutif d'un délit au sens de la loi. Par ailleurs, se fondant sur le rapport d'expertise biomécanique de Y.________ et compte tenu de la configuration des lieux (travaux et nombreux marquages au sol), elle a considéré que l'intéressé, en état d'ébriété, n'avait pas été en mesure de réagir comme il l'aurait fait afin d'éviter la survenance de l'accident, s'il avait été en pleine possession de ses moyens. Aussi la faute du conducteur de l'automobile n'est-elle pas susceptible d'interrompre tout lien objectif entre l'infraction d'ivresse au volant et l'accident, du moment qu'il y avait lieu de présumer que celui-ci ne serait pas survenu ou n'aurait pas eu les mêmes conséquences dans le cas d'un conducteur resté sobre.</w:t>
      </w:r>
    </w:p>
    <w:p>
      <w:r>
        <w:rPr>
          <w:b/>
        </w:rPr>
        <w:t>E. 4.2</w:t>
      </w:r>
    </w:p>
    <w:p>
      <w:r>
        <w:t>En l'occurrence, les allégations du recourant ne sont pas de nature à renverser la présomption que l'accident ne serait pas survenu ou n'aurait pas eu les mêmes conséquences si l'assuré n'avait pas conduit en état d'ébriété. Il se réfère au rapport d'expertise biomécanique de Y.________, selon lequel il n'était pas possible d'un point de vue technique de trancher le point de savoir comment le motocycliste aurait réagi s'il n'avait pas été en état d'ébriété. Contrairement à ce que semble croire le recourant, cette indication ne permet pas d'inférer, au degré de la vraisemblance prépondérante, que même en pleine possession de ses moyens, il n'aurait pas été en mesure de réagir afin d'éviter la survenance de l'accident ou d'en limiter les conséquences. La présomption n'apparaît dès lors pas renversée et il n'est pas nécessaire d'ordonner une instruction complémentaire comme le demande l'intéressé. Quant au fait que l'automobiliste n'a pas respecté les règles de priorité, il n'est pas déterminant étant donné que la faute même exclusive d'un tiers, découlant de la violation d'une ou de plusieurs règles de circulation, ne suffit pas encore pour nier tout lien objectif entre l'infraction d'ivresse au volant commise par l'assuré et l'accident, lorsque, comme en l'espèce, la présomption n'est pas renversée.</w:t>
      </w:r>
    </w:p>
    <w:p>
      <w:r>
        <w:t>Vu ce qui précède, le jugement attaqué n'est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