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8C_464/2018 vom 18. Dezember 2018</w:t>
      </w:r>
    </w:p>
    <w:p>
      <w:r>
        <w:t>Bundesgericht, 2018-12-18, DE</w:t>
      </w:r>
    </w:p>
    <w:p>
      <w:r>
        <w:rPr>
          <w:b/>
        </w:rPr>
        <w:t xml:space="preserve">Quelle: </w:t>
      </w:r>
      <w:r>
        <w:t>https://mcp.opencaselaw.ch/entscheid/bger_8C_464_2018</w:t>
      </w:r>
    </w:p>
    <w:p>
      <w:r>
        <w:t>FR: TF 8C_464/2018 du 18 décembre 2018</w:t>
      </w:r>
    </w:p>
    <w:p>
      <w:r>
        <w:t>IT: TF 8C_464/2018 del 18 dicembre 2018</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 vgl. auch BGE 140 V 321 E. 3.7.1 und 3.7.2 S. 327).</w:t>
      </w:r>
    </w:p>
    <w:p>
      <w:r>
        <w:rPr>
          <w:b/>
        </w:rPr>
        <w:t>E. 1.2</w:t>
      </w:r>
    </w:p>
    <w:p>
      <w:r>
        <w:t>Mit Entscheid vom 5. Mai 2018 stellte die Vorinstanz die Unrechtmässigkeit der ausgesprochenen Kündigung fest und verpflichtete den Staatsrat zur Festsetzung einer Entschädigung. Damit hat die Vorinstanz lediglich über den ersten Teil im Rahmen des zweistufigen Verfahrens bei der Auflösung öffentlich-rechtlicher Arbeitsverhältnisse entschieden, so dass es sich beim angefochtenen Entscheid nicht um einen Teil- oder Endentscheid handelt (Urteile 8C_300/2018 vom 16. November 2018, 8C_130/2018 vom 31. August 2018, 8C_856/2015 vom 26. Januar 2016 E. 3 und 8C_724/2014 vom 29. Mai 2015 E. 4). Da der Staatsrat durch den vorinstanzlichen Entscheid zum Erlass einer seines Erachtens rechtswidrigen Verfügung verpflichtet wird (vgl. dazu Art. 66 des Gesetzes vom 19. November 2010 über das Personal des Staates Wallis [kGPers; SGS 172.2] und Art. 27 der Verordnung vom 22. Juni 2011 über das Personal des Staates Wallis [kVPers; SGS 172.200]), bewirkt dieser einen nicht wieder gutzumachenden Nachteil für den Beschwerdeführer (vgl. allgemein zur Beschwerdelegitimation des Gemeinwesens in Zusammenhang mit Streitigkeiten im Rahmen des öffentlichen Personalrechts BGE 140 V 328 E. 6.3 S. 333 mit Verweis auf BGE 134 I 204 E. 2.3 S. 206). Da auch die übrigen Eintretensvoraussetzungen, namentlich der Streitwert nach Art. 85 Abs. 1 lit. b BGG , gegeben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die Vorinstanz die Rechtmässigkeit der Kündigung durch den Staatsrat zu Recht verneint hat.</w:t>
      </w:r>
    </w:p>
    <w:p>
      <w:r>
        <w:rPr>
          <w:b/>
        </w:rPr>
        <w:t>E. 4</w:t>
      </w:r>
    </w:p>
    <w:p>
      <w:r>
        <w:t>Soweit der Staatsrat in seiner Beschwerde den Sachverhalt aus seiner Sicht darlegt, vermag dies den Anforderungen an die Rüge eines unvollständigen resp. willkürlich festgestellten Sachverhalts nicht zu genügen (E. 2.2). Folglich ist im Weiteren vom Sachverhalt gemäss vorinstanzlichem Entscheid auszugehen.</w:t>
      </w:r>
    </w:p>
    <w:p>
      <w:r>
        <w:rPr>
          <w:b/>
        </w:rPr>
        <w:t>E. 5.1</w:t>
      </w:r>
    </w:p>
    <w:p>
      <w:r>
        <w:t>Was der Staatsrat gegen den vorinstanzlichen Entscheid vorbringt, erschöpft sich in weiten Teilen in appellatorischer Kritik, auf welche das Bundesgericht nicht eingeht ( BGE 141 IV 249 E. 1.3.1 S. 253; 140 III 264 E. 2.3 S. 266, je mit Hinweisen). So gibt der Staatsrat zwar die Erwägungen der Vorinstanz wieder; er legt jedoch nicht dar, inwiefern diese gegen Bundesrecht verstossen sollen. Es fehlt demnach an der erforderlichen Auseinandersetzung mit dem angefochtenen Entscheid. Dies gilt etwa für die Ausführungen in Zusammenhang mit den Kompetenzen im Rahmen der Aufsicht. Somit kann offen bleiben, ob das Gutachten des Prof. Dr. iur. C.________ vom 13. Juni 2018 ein zulässiges Novum nach Art. 99 BGG darstellt.</w:t>
      </w:r>
    </w:p>
    <w:p>
      <w:r>
        <w:rPr>
          <w:b/>
        </w:rPr>
        <w:t>E. 5.2</w:t>
      </w:r>
    </w:p>
    <w:p>
      <w:r>
        <w:t>Im Wesentlichen rügt der Staatsrat, die Vorinstanz habe eine Überschreitung ihrer Überprüfungsbefugnis nach Art. 78 des Gesetzes des Kantons Wallis vom 6. Oktober 1976 über das Verwaltungsverfahren und die Verwaltungsrechtspflege (VVRG; SGS 172.6) begangen.</w:t>
      </w:r>
    </w:p>
    <w:p>
      <w:r>
        <w:t>Entgegen seiner Ansicht liegt keine willkürliche Anwendung des kantonalen Verfahrensrechts vor. Denn die Vorinstanz hat nicht die Zweckmässigkeit der Kündigung in Frage gestellt, sondern diese mangels Vorliegens eines sachlich gerechtfertigten Grundes als unrechtmässig qualifiziert. Ihre Formulierung am Ende von E. 7.4 ("Unter den genannten Umständen war es entgegen der Ansicht des Staatsrates nicht erforderlich, das Arbeitsverhältnis der Beschwerdeführerin zu beenden um das öffentliche Interesse an einer gut funktionierenden Verwaltung zu gewährleisten.") lässt den Entscheid nicht zu einem blossen Ermessensentscheid werden. Dem erwähnten Satz war die (rechtliche) Überprüfung, ob das zur Last gelegte Verhalten einen sachlichen Kündigungsgrund darstellt, vorausgegangen. So ist auch nicht zu beanstanden, dass die Vorinstanz die Frage des Vorliegens eines sachlichen Kündigungsgrundes beantwortet hat; vielmehr ist das - nebst der Einhaltung allfälliger Formalitäten - der Kern einer Überprüfung der Rechtmässigkeit einer Kündigung. Dass die Vorinstanz dieses Verhalten unter Anwendung von Art. 58 und Art. 20 kGPers beurteilte, vermag ebenfalls keine Überschreitung ihrer Überprüfungsbefugnis zu begründen, stellt die rechtliche Subsumtion doch die genuine Aufgabe des Gerichts dar. Jedenfalls liegt in einem solchen Vorgehen keine Willkür. Insgesamt vermag der Staatsrat nicht aufzuzeigen, inwiefern die vorinstanzliche Würdigung des Verhaltens der Beschwerdegegnerin - trotz festgestellter diskutabler Tonalität seitens der Arbeitnehmerin - als nicht hinreichend für einen sachlichen Kündigungsgrund willkürlich sein soll. Daran ändert nichts, dass eine andere Beurteilung ebenso zutreffend oder allenfalls gar überzeugender wäre (E. 2.3).</w:t>
      </w:r>
    </w:p>
    <w:p>
      <w:r>
        <w:rPr>
          <w:b/>
        </w:rPr>
        <w:t>E. 5.3</w:t>
      </w:r>
    </w:p>
    <w:p>
      <w:r>
        <w:t>Weiter macht der Staatsrat geltend, die Überprüfungsbefugnis der Vorinstanz beschränke sich bei der Frage, ob die anstellende Behörde im Rahmen der Kündigung den ihr zustehenden weiten Ermessensspielraum überschritten oder missbraucht habe, wie beim Bundesgericht auf Willkür. Dies trifft so nicht zu: Der Beschwerdeführer verkennt, dass es sich bei der streitbetroffenen Kündigung keineswegs um einen reinen Ermessensentscheid handelt. Die von ihm verfochtene Beschränkung lässt sich aus Art. 78 VVRG nicht ableiten und widerspräche im Übrigen auch der Rechtsweggarantie von Art. 29a BV (vgl. BGE 144 I 181 E. 5.3.2 S. 190; Urteil 1C_92/2018 vom 9. Juli 2018 E. 3.3, je mit Hinweisen). Davon abgesehen ist nicht nachvollziehbar, inwiefern die Vorinstanz die erwähnte kantonale Verfahrensnorm in willkürlicher Weise angewendet haben sollte.</w:t>
      </w:r>
    </w:p>
    <w:p>
      <w:r>
        <w:rPr>
          <w:b/>
        </w:rPr>
        <w:t>E. 5.4</w:t>
      </w:r>
    </w:p>
    <w:p>
      <w:r>
        <w:t>Zusammenfassend ist festzuhalten, dass der Staatsrat nicht aufzeigt, dass die differenzierten und unter Berücksichtigung der kantonalen Rechtslage und Praxis ergangenen vorinstanzlichen Erwägungen bundesrechtswidrig sein sollen. Auch legt er nicht in rechtsgenüglicher Weise ( Art. 106 Abs. 2 BGG ; E. 2.3) dar, dass diese Ausführungen eine willkürliche Anwendung oder Auslegung des kantonalen Rechts darstellen würden. Seine Beschwerde ist demnach abzuweisen.</w:t>
      </w:r>
    </w:p>
    <w:p>
      <w:r>
        <w:rPr>
          <w:b/>
        </w:rPr>
        <w:t>E. 6</w:t>
      </w:r>
    </w:p>
    <w:p>
      <w:r>
        <w:t>Das Verfahren ist kostenpflichtig. Der unterliegende Staatsrat hat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