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463/2015 vom 24. September 2015</w:t>
      </w:r>
    </w:p>
    <w:p>
      <w:r>
        <w:t>Bundesgericht, 2015-09-24, DE</w:t>
      </w:r>
    </w:p>
    <w:p>
      <w:r>
        <w:rPr>
          <w:b/>
        </w:rPr>
        <w:t xml:space="preserve">Quelle: </w:t>
      </w:r>
      <w:r>
        <w:t>https://mcp.opencaselaw.ch/entscheid/bger_8C_463_2015</w:t>
      </w:r>
    </w:p>
    <w:p>
      <w:r>
        <w:t>FR: TF 8C 463/2015 du 24 septembre 2015</w:t>
      </w:r>
    </w:p>
    <w:p>
      <w:r>
        <w:t>IT: TF 8C 463/2015 del 24 settembre 2015</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Rechtsverletzungen gemäss Art. 95 und Art. 96 BGG erhoben werden. Das Bundesgericht legt seinem Urteil den von der Vorinstanz festgestellten Sachverhalt zugrunde ( Art. 105 Abs. 1 BGG ). Von diesen tatsächlichen Feststellungen kann es nur abweichen, wenn sie offensichtlich unrichtig sind oder auf einer Rechtsverletzung im Sinne von Art. 95 BGG beruhen ( Art. 105 Abs. 2 BGG ) und wenn die Behebung des Mangels für den Ausgang des Verfahrens entscheidend sein kann ( Art. 97 Abs. 1 BGG ).</w:t>
      </w:r>
    </w:p>
    <w:p>
      <w:r>
        <w:rPr>
          <w:b/>
        </w:rPr>
        <w:t>E. 2.1</w:t>
      </w:r>
    </w:p>
    <w:p>
      <w:r>
        <w:t>Streitig und zu prüfen ist vor Bundesgericht nur mehr einzig die Rechtsfrage, ob im Rahmen der Bemessung des Invaliditätsgrades der vorinstanzliche Verzicht auf einen Tabellenlohnabzug Bundesrecht verletzt.</w:t>
      </w:r>
    </w:p>
    <w:p>
      <w:r>
        <w:rPr>
          <w:b/>
        </w:rPr>
        <w:t>E. 2.2</w:t>
      </w:r>
    </w:p>
    <w:p>
      <w:r>
        <w:t>Ob und in welcher Höhe statistische Tabellenlöhne herabzusetzen sind, hängt nach den zutreffenden Erwägungen im angefochtenen Entscheid von sämtlichen persönlichen und beruflichen Umständen des Einzelfalles ab, die nach pflichtgemässem Ermessen gesamthaft zu schätzen sind. Relevante Merkmale sind leidensbedingte Einschränkung, Alter, Dienstjahre, Nationalität/Aufenthaltskategorie und Beschäftigungsgrad ( BGE 126 V 75 E. 5b/bb S. 80). Ob ein (behinderungsbedingt oder anderweitig begründeter) Abzug vom hypothetischen Invalideneinkommen vorzunehmen sei, ist eine Rechtsfrage. Demgegenüber stellt die Höhe des Abzuges eine typische Ermessensfrage dar, deren Beantwortung letztinstanzlicher Korrektur nur mehr dort zugänglich ist, wo das kantonale Gericht das Ermessen rechtsfehlerhaft ausgeübt hat, d.h. bei Ermessensüberschreitung, -missbrauch oder -unterschreitung ( BGE 137 V 71 E. 5.1 S. 72 f. mit Hinweis auf BGE 132 V 393 E. 3.3 S. 399).</w:t>
      </w:r>
    </w:p>
    <w:p>
      <w:r>
        <w:rPr>
          <w:b/>
        </w:rPr>
        <w:t>E. 2.3</w:t>
      </w:r>
    </w:p>
    <w:p>
      <w:r>
        <w:t>Im angefochtenen Entscheid wird zur Nichtgewährung eines Abzugs von den Tabellenlöhnen erwogen, die leidensbedingten Einschränkungen seien im Zumutbarkeitsprofil bereits berücksichtigt worden. Im Weitern rechtfertigten auch die übrigen Faktoren (Alter, Dienstjahre, Nationalität/Aufenthaltskategorie, Beschäftigungsgrad) keinen Abzug, sei doch der Versicherte erst 50 Jahre alt, Schweizer Staatsbürger und könnte in einem vollschichtigen Pensum (mit erhöhtem Pausenbedarf) arbeiten.</w:t>
      </w:r>
    </w:p>
    <w:p>
      <w:r>
        <w:rPr>
          <w:b/>
        </w:rPr>
        <w:t>E. 2.4</w:t>
      </w:r>
    </w:p>
    <w:p>
      <w:r>
        <w:t>Der Beschwerdeführer ist im Gegensatz dazu der Ansicht, dass sich angesichts der leidensbedingten Arbeitsplatzeinschränkung, des fortgeschrittenen Alters und des reduzierten Beschäftigungsgrades ein maximaler Abzug von 25 % rechtfertige.</w:t>
      </w:r>
    </w:p>
    <w:p>
      <w:r>
        <w:rPr>
          <w:b/>
        </w:rPr>
        <w:t>E. 3.1</w:t>
      </w:r>
    </w:p>
    <w:p>
      <w:r>
        <w:t>Der vorinstanzlichen Beurteilung ist insofern zuzustimmen, als die leidensbedingten Einschränkungen im Zumutbarkeitsprofil gemäss Gutachten des Instituts B.________ vom 7. Mai 2014 bereits enthalten sind und mit der festgestellten 75%-igen Arbeitsfähigkeit aufgefangen werden. Die Einwendungen des Beschwerdeführers vermögen daran nichts zu ändern. Insbesondere lässt sich aus dem Umstand, dass die IV-Stelle bereits in der Verfügung vom 19. Februar 2008 einen Abzug von 15 % gewährte, nichts für den konkreten Fall ableiten, so ist mit der Vorinstanz über einen allfälligen Abzug bei jeder Rentenbeurteilung neu zu befinden. Auch bezüglich des Alters des Versicherten und seiner Nationalität besteht offensichtlich kein Abzugsgrund, fällt doch bei Versicherten anfangs Fünfzig das Merkmal "Lebensalter" noch kaum ins Gewicht (Urteil 9C_268/2014 vom 29. April 2014 E.2.2). Ob ein Abzug für die Abwesenheit vom Arbeitsmarkt seit bald 15 Jahren gewährt werden könnte, kann dahinstehen. Jedenfalls ist ein solcher mit Blick auf die Teilzeiterwerbstätigkeit des Beschwerdeführers vorzunehmen. So ist dem Versicherten beizupflichten, dass teilzeitbeschäftigte Männer im Vergleich zu Vollzeitangestellten erfahrungsgemäss überproportional tiefer entlöhnt werden (vgl. BGE 126 V 472 E. 4.2.3 S. 481; nebst vielen Urteil 8C_668/2010 vom 15. März 2011 E. 7.2.2).</w:t>
      </w:r>
    </w:p>
    <w:p>
      <w:r>
        <w:rPr>
          <w:b/>
        </w:rPr>
        <w:t>E. 3.2</w:t>
      </w:r>
    </w:p>
    <w:p>
      <w:r>
        <w:t>Unter Berücksichtigung aller Umstände scheint auch in Anbetracht ähnlich gelagerter Fälle ein Abzug von insgesamt 10 % als angezeigt. Dies führt zu einem Invalideneinkommen von Fr. 42'460.-, was in Gegenüberstellung mit dem von der Vorinstanz festgestellten unbestrittenen Valideneinkommen von Fr. 77'662.- einem Invaliditätsgrad von gerundet 44 % entspricht. Der Beschwerdeführer hat damit Anspruch auf eine Viertelsrente. Angesichts der Neuanmeldung im Januar 2009 und einer aufgrund des Gutachtens des Instituts B.________ ausgewiesenen Leistungseinschränkung von 25 % ab Anfang 2013 ist der Rentenbeginn in Anwendung von Art. 28 Abs. 1 in Verbindung mit Art. 29 Abs. 1 IVG auf Januar 2014 festzusetzen. Die Beschwerde ist mithin teilweise gutzuheissen.</w:t>
      </w:r>
    </w:p>
    <w:p>
      <w:r>
        <w:rPr>
          <w:b/>
        </w:rPr>
        <w:t>E. 4.1</w:t>
      </w:r>
    </w:p>
    <w:p>
      <w:r>
        <w:t>Dem Ausgang des Verfahrens entsprechend haben die Parteien die Gerichtskosten je zur Hälfte zu tragen ( Art. 66 Abs. 1 BGG ). Die Beschwerdegegnerin hat dem Beschwerdeführer eine reduzierte Parteientschädigung zu bezahlen ( Art. 68 Abs. 2 BGG ).</w:t>
      </w:r>
    </w:p>
    <w:p>
      <w:r>
        <w:rPr>
          <w:b/>
        </w:rPr>
        <w:t>E. 4.2</w:t>
      </w:r>
    </w:p>
    <w:p>
      <w:r>
        <w:t>Dem Gesuch des Beschwerdeführers um unentgeltliche Rechtspflege kann jedoch entsprochen werden ( Art. 64 BGG ; BGE 125 V 201 E. 4a S. 202).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