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463/2012 vom 3. August 2012</w:t>
      </w:r>
    </w:p>
    <w:p>
      <w:r>
        <w:t>Bundesgericht, 2012-08-03, DE</w:t>
      </w:r>
    </w:p>
    <w:p>
      <w:r>
        <w:rPr>
          <w:b/>
        </w:rPr>
        <w:t xml:space="preserve">Quelle: </w:t>
      </w:r>
      <w:r>
        <w:t>https://mcp.opencaselaw.ch/entscheid/bger_8C_463_2012</w:t>
      </w:r>
    </w:p>
    <w:p>
      <w:r>
        <w:t>FR: TF 8C 463/2012 du 3 août 2012</w:t>
      </w:r>
    </w:p>
    <w:p>
      <w:r>
        <w:t>IT: TF 8C 463/2012 del 3 agosto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Rechtsverletzungen gemäss Art. 95 f. BGG erhoben werden. Dabei ist das Bundesgericht grundsätzlich an den vorinstanzlich festgestellten Sachverhalt gebunden ( Art. 105 Abs. 1 BGG ), es sei denn, dieser ist u.a. offensichtlich unrichtig ( Art. 97 Abs. 1 BGG ), was nicht schon dann der Fall ist, wenn sich Zweifel anmelden, sondern erst, wenn die Sachverhaltsfeststellung eindeutig und augenfällig unzutreffend ist ( BGE 133 II 249 E. 1.2.2 und E. 1.4.3 S. 252 bzw. 255).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 Urteil 2C_921/2010 vom 23. Juni 2011 E. 2.1).</w:t>
      </w:r>
    </w:p>
    <w:p>
      <w:r>
        <w:rPr>
          <w:b/>
        </w:rPr>
        <w:t>E. 1.2</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w:t>
      </w:r>
    </w:p>
    <w:p>
      <w:r>
        <w:rPr>
          <w:b/>
        </w:rPr>
        <w:t>E. 2</w:t>
      </w:r>
    </w:p>
    <w:p>
      <w:r>
        <w:t>Streitig ist, ob der Beschwerdeführer nach IVG Anspruch auf eine Invalidenrente hat. Das kantonale Gericht hat die dafür massgebenden Rechtsgrundlagen zutreffend dargelegt. Darauf wird verwiesen.</w:t>
      </w:r>
    </w:p>
    <w:p>
      <w:r>
        <w:rPr>
          <w:b/>
        </w:rPr>
        <w:t>E. 3</w:t>
      </w:r>
    </w:p>
    <w:p>
      <w:r>
        <w:t>Die Vorinstanz stellte in tatsächlicher Hinsicht fest, dass der Versicherte gestützt auf die beweistauglichen Expertisen des medizinischen Instituts Y.________ mit dem erforderlichen Beweisgrad der überwiegenden Wahrscheinlichkeit in Bezug auf wechselbelastende, körperlich leichte Tätigkeiten - wie die ausgeübte angestammte Bürotätigkeit - bei Einhaltung einer Hebe- und Traglimite von fünf Kilogramm schweren Gewichten ohne längere Zwangshaltung des Kopfes und ohne repetitive Überkopfbewegungen der Arme zu 70 % arbeitsfähig sei. Bei einem Invaliditätsgrad von 30 % habe die IV-Stelle zu Recht einen Rentenanspruch verneint. Die für das Bundesgericht grundsätzlich verbindliche Tatsachenfeststellung hinsichtlich der trotz gesundheitlicher Einschränkungen zumutbarerweise verbleibenden Leistungsfähigkeit ist letztinstanzlich zu Recht nicht in Frage gestellt worden.</w:t>
      </w:r>
    </w:p>
    <w:p>
      <w:r>
        <w:rPr>
          <w:b/>
        </w:rPr>
        <w:t>E. 4.1</w:t>
      </w:r>
    </w:p>
    <w:p>
      <w:r>
        <w:t>Der Beschwerdeführer rügt einzig, das kantonale Gericht habe beim Einkommensvergleich aufseiten des Einkommens, welches er ohne Gesundheitsschaden erzielt hätte (Valideneinkommen), anstatt des in Aussicht stehenden Jahreslohnes von Fr. 100'000.- gestützt auf die vom Bundesamt für Statistik herausgegebene Schweizerische Lohnstrukturerhebung (LSE) ein Jahreseinkommen von bloss rund Fr. 69'000.- berücksichtigt und nicht begründet, weshalb es auf die für den Beweis des höheren Valideneinkommens angebotene Zeugeneinvernahme verzichtet habe.</w:t>
      </w:r>
    </w:p>
    <w:p>
      <w:r>
        <w:rPr>
          <w:b/>
        </w:rPr>
        <w:t>E. 4.2</w:t>
      </w:r>
    </w:p>
    <w:p>
      <w:r>
        <w:t>Der Versicherte übersieht, dass zur Ermittlung des Invaliditätsgrades ( Art. 16 ATSG ) unter den gegebenen Umständen kein Einkommensvergleich notwendig war. Der Umstand, dass die Verwaltung einen Prozentvergleich (zu dessen Zulässigkeit vgl. BGE 114 V 310 E. 3a S. 312; 104 V 135 E. 2b S. 137) vorgenommen und nicht näher geprüft hat, wie sich die gesundheitlich bedingten Einschränkungen in einem ausgeglichenen Arbeitsmarkt auswirken (vgl. Art. 16 ATSG ), bedeutet keinen Rechtsfehler, was auch nicht vorgebracht wird (Urteil 8C_798/2009 vom 1. Februar 2010 E. 5). Der ordentliche Einkommensvergleich erübrigt sich, weil der Beschwerdeführer nach unbestrittener Auffassung in einer mit der angestammten Bürotätigkeit vergleichbaren, körperlich leichten wechselbelastenden Beschäftigung am Besten eingegliedert wäre und daher für das Validen- und das Invalideneinkommen dieselbe Bemessungsgrundlage herangezogen werden darf (vgl. Urteile 8C_755/2009 vom 8. Januar 2010 E. 4.3.2 und 8C_489/2007 vom 28. Dezember 2007 E. 4.2). Der Versicherte macht schliesslich auch nicht geltend, die in Aussicht stehende und mit einem Valideneinkommen von Fr. 100'000.- entlöhnten Tätigkeit wäre - aufgrund des Anforderungsprofils im Vergleich zu demjenigen seiner angestammten Bürotätigkeit - mit einer grösseren gesundheitsbedingten Erwerbseinbusse verbunden gewesen. Unter den gegebenen Umständen ist nicht zu beanstanden, dass das kantonale Gericht in zulässiger antizipierter Beweiswürdigung ohne Bundesrechtsverletzung auf weitere Beweismassnahmen verzichtet hat. Denn ungeachtet des vom Beschwerdeführer geltend gemachten Valideneinkommens hat die IV-Stelle nach dem Gesagten bei einem rentenausschliessenden Invaliditätsgrad von jedenfalls weniger als 40 % zu Recht einen Anspruch auf Invalidenrente verneint. Der angefochtene Entscheid, mit welchem das kantonale Gericht die Verfügung der IV-Stelle vom 15. April 2011 bestätigt hat, ist nicht zu beanstanden.</w:t>
      </w:r>
    </w:p>
    <w:p>
      <w:r>
        <w:rPr>
          <w:b/>
        </w:rPr>
        <w:t>E. 5.1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5.2</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