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462/2014 vom 18. November 2014</w:t>
      </w:r>
    </w:p>
    <w:p>
      <w:r>
        <w:t>Bundesgericht, 2014-11-18, DE</w:t>
      </w:r>
    </w:p>
    <w:p>
      <w:r>
        <w:rPr>
          <w:b/>
        </w:rPr>
        <w:t xml:space="preserve">Quelle: </w:t>
      </w:r>
      <w:r>
        <w:t>https://mcp.opencaselaw.ch/entscheid/bger_8C_462_2014</w:t>
      </w:r>
    </w:p>
    <w:p>
      <w:r>
        <w:t>FR: TF 8C 462/2014 du 18 novembre 2014</w:t>
      </w:r>
    </w:p>
    <w:p>
      <w:r>
        <w:t>IT: TF 8C 462/2014 del 18 novembre 2014</w:t>
      </w:r>
    </w:p>
    <w:p>
      <w:pPr>
        <w:pStyle w:val="Heading2"/>
      </w:pPr>
      <w:r>
        <w:t>Regeste</w:t>
      </w:r>
    </w:p>
    <w:p>
      <w:r>
        <w:t>Unfallversicherung (Invalidenrente) | Unfallversicherung</w:t>
      </w:r>
    </w:p>
    <w:p>
      <w:pPr>
        <w:pStyle w:val="Heading2"/>
      </w:pPr>
      <w:r>
        <w:t>Erwägungen</w:t>
      </w:r>
    </w:p>
    <w:p>
      <w:r>
        <w:rPr>
          <w:b/>
        </w:rPr>
        <w:t>E. 1</w:t>
      </w:r>
    </w:p>
    <w:p>
      <w:r>
        <w:t>Beim kantonalen Gerichtsentscheid vom 24. März 2014 handelt es sich - soweit er einen Rentenanspruch betrifft - um einen (Teil-) Endentscheid. Auf die Beschwerde des Versicherten betreffend des Rentenanspruchs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der Versicherte ab 1. Januar 2011 Anspruch auf eine Invalidenrente der Unfallversicherung hat.</w:t>
      </w:r>
    </w:p>
    <w:p>
      <w:r>
        <w:rPr>
          <w:b/>
        </w:rPr>
        <w:t>E. 4.1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Ein solcher Ausnahmefall liegt beispielsweise dann vor, wenn der Versicherte seine Arbeitsstelle infolge konkursbedingter Betriebsschliessung verliert (Urteil 9C_501/2013 vom 28. November 2013 E. 4.2 mit Hinweisen).</w:t>
      </w:r>
    </w:p>
    <w:p>
      <w:r>
        <w:rPr>
          <w:b/>
        </w:rPr>
        <w:t>E. 4.3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 Diese Grundsätze hat das Bundesgericht unlängst bestätigt (vgl. BGE 139 V 592 ).</w:t>
      </w:r>
    </w:p>
    <w:p>
      <w:r>
        <w:rPr>
          <w:b/>
        </w:rPr>
        <w:t>E. 5.1</w:t>
      </w:r>
    </w:p>
    <w:p>
      <w:r>
        <w:t>Da über die bisherige Arbeitgeberin des Versicherten der Konkurs eröffnet wurde, bemassen Vorinstanz und Verwaltung das Valideneinkommen ausgehend vom Landesmantelvertrag für das Schweizerische Bauhauptgewerbe auf Fr. 59'172.-. Die Ermittlung des Valideneinkommens ausgehend von einem Gesamtarbeitsvertrag ist grundsätzlich zulässig (vgl. Urteile 8C_71/2014 vom 12. Juni 2014 E. 4.1 und 8C_90/2010 vom 23. Juli 2010 E. 6.2.1.2). Wie die Vorinstanz unter ausführlicher Darstellung der Berufsbiografie des Versicherten zutreffend erwogen hat, ist nicht davon auszugehen, dass er im Jahre 2011 ohne den Unfall ein bedeutend höheres Einkommen erzielt hätte. Da die bisherige Arbeitgeberin Konkurs ging, kann letztlich offenbleiben, ob diese ihm vor dem Unfall entgegen ihren Angaben auf der Unfallmeldung ein 13. Monatsgehalt ausgerichtet hat.</w:t>
      </w:r>
    </w:p>
    <w:p>
      <w:r>
        <w:rPr>
          <w:b/>
        </w:rPr>
        <w:t>E. 5.2</w:t>
      </w:r>
    </w:p>
    <w:p>
      <w:r>
        <w:t>Diesem Valideneinkommen von Fr. 59'172.- stellten Vorinstanz und Verwaltung ein gestützt auf DAP-Zahlen ermitteltes Invalideneinkommen von Fr. 55'155.- gegenüber. Soweit der Versicherte sich gegen diese Vorgehensweise wendet und eine Bemessung des Invalideneinkommen gestützt auf die Zahlen der LSE verlangt, ist festzuhalten, dass bei Verwendung der LSE-Zahlen ein höheres Invalideneinkommen und damit ein tieferer Invaliditätsgrad resultieren würde: Nicht nachvollziehbar ist, weshalb dem Versicherten im Vorneherein keine Hilfsarbeiter-Tätigkeiten in der Industrie mehr zumutbar sein sollen. Zudem beinhalten die LSE-Löhne des Sektors Produkion auch nicht-industrielle Arbeitsplätze. Zur Bemessung des Invalideneinkommens wäre deshalb vom Durchschnittseinkommen für Männer im Anforderungsniveau 4 über alle Wirtschaftsabteilungen von Fr. 4'901.- (LSE 2010, Tabelle TA 1, Zeile "Total") auszugehen. Dieser Wert wäre auf ein Jahr hoch- und auf eine betriebsübliche Arbeitszeit von 41.7 Stunden (vgl. Die Volkswirtschaft 4/2014, S. 90, Tabelle B 9.2) umzurechnen; das sich daraus ergebende Einkommen wäre sodann an die bis zum Jahr 2011 eingetretene Nominallohnentwicklung der Männerlöhne anzupassen (Lohn 2010 x [2171 : 2151]). Gewährt man dem Versicherten den von ihm beantragten Abzug vom Tabellenlohn im Sinne von BGE 126 V 75 E. 5b/cc S. 80 in der Höhe von 10 %, so ergäbe sich ein Invalideneinkommen von Fr. 55'603.40 (Fr. 4'901.- x 12 x [41.7 : 40] x [2171 : 2151] x 0.9). Dieser Wert liegt über dem von Vorinstanz und Verwaltung ermittelten Wert von Fr. 55'155.-, womit sich die Bemessung des Invaliditätseinkommens aufgrund der Zahlen der DAP zu Gunsten des Beschwerdeführers auswirkt.</w:t>
      </w:r>
    </w:p>
    <w:p>
      <w:r>
        <w:rPr>
          <w:b/>
        </w:rPr>
        <w:t>E. 5.3</w:t>
      </w:r>
    </w:p>
    <w:p>
      <w:r>
        <w:t>Ist somit weder die Bemessung des Validen- noch jene des Invalideneinkommens zu beanstanden, so bestehen Einsprache- und kantonaler Gerichtsentscheid zu Recht; die Beschwerde des Versicherten ist abzuweisen.</w:t>
      </w:r>
    </w:p>
    <w:p>
      <w:r>
        <w:rPr>
          <w:b/>
        </w:rPr>
        <w:t>E. 6.1</w:t>
      </w:r>
    </w:p>
    <w:p>
      <w:r>
        <w:t>Dem Ausgang des Verfahrens entsprechend sind die Gerichtskosten dem Beschwerdeführer aufzuerlegen ( Art. 66 Abs. 1 BGG ).</w:t>
      </w:r>
    </w:p>
    <w:p>
      <w:r>
        <w:rPr>
          <w:b/>
        </w:rPr>
        <w:t>E. 6.2</w:t>
      </w:r>
    </w:p>
    <w:p>
      <w:r>
        <w:t>Dem Gesuch des Beschwerdeführers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