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8C_462/2010 vom 22. Oktober 2010</w:t>
      </w:r>
    </w:p>
    <w:p>
      <w:r>
        <w:t>Bundesgericht, 2010-10-22, DE</w:t>
      </w:r>
    </w:p>
    <w:p>
      <w:r>
        <w:rPr>
          <w:b/>
        </w:rPr>
        <w:t xml:space="preserve">Quelle: </w:t>
      </w:r>
      <w:r>
        <w:t>https://mcp.opencaselaw.ch/entscheid/bger_8C_462_2010</w:t>
      </w:r>
    </w:p>
    <w:p>
      <w:r>
        <w:t>FR: TF 8C_462/2010 du 22 octobre 2010</w:t>
      </w:r>
    </w:p>
    <w:p>
      <w:r>
        <w:t>IT: TF 8C_462/2010 del 22 ottobre 2010</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(vgl. Urteil 9C_684/2007 vom 27. Dezember 2007 E. 1.1 mit Hinweisen, in: SVR 2008 IV Nr. 39 S. 131), um einen selbstständig eröffneten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5.2.1 - 5.2.4 S. 483 ff.; Urteile 8C_531/2008 vom 8. April 2009 E. 1.2.1 mit Hinweisen, nicht publ. in: BGE 135 V 279 , aber in: SVR 2009 UV Nr. 40 S. 137, und 8C_682/2007 vom 30. Juli 2008 E. 1.2.1, nicht publ. in: BGE 134 V 392 , aber in: SVR 2008 UV Nr. 31 S. 115).</w:t>
      </w:r>
    </w:p>
    <w:p>
      <w:r>
        <w:rPr>
          <w:b/>
        </w:rPr>
        <w:t>E. 1.2.2</w:t>
      </w:r>
    </w:p>
    <w:p>
      <w:r>
        <w:t>Im Umstand, dass der vorinstanzliche Entscheid materiell verbindliche Anordnungen enthält, welche den Beschwerde führenden Unfallversicherer verpflichten, eine nach seiner Auffassung in dieser Form ungerechtfertigte Leistungszusprache zu erlassen, und der darauf beruhende Endentscheid praktisch nicht angefochten und das Ergebnis nicht mehr korrigiert werden könnte, ist nach dem Gesagten ein offenkundiger, nicht wieder gutzumachender Nachteil im Sinne des Art. 93 Abs. 1 lit. a BGG zu erblicken. Auf die Beschwerde ist daher einzutreten.</w:t>
      </w:r>
    </w:p>
    <w:p>
      <w:r>
        <w:rPr>
          <w:b/>
        </w:rPr>
        <w:t>E. 2.1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jedoch grundsätzlich nur die geltend gemachten Rügen; es ist nicht gehalten, wie eine erstinstanzliche Behörde alle sich stellenden rechtlichen Fragen zu prüfen, wenn diese vor Bundesgericht nicht mehr vorgetragen wurden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Unbestrittenermassen ist W.________ an den Auswirkungen einer Berufskrankheit im Sinne des Art. 9 UVG gestorben. Diese stellte Folge der schädigenden Einflüsse (Asbest) dar, welchen er im Zeitraum von 1963 bis 1978 während seines Anstellungsverhältnisses bei der Firma S.________ AG ausgesetzt gewesen war. Die Beschwerdeführerin - in ihrer Funktion als obligatorischer Unfallversicherer der Arbeitgeberfirma - hat ihre Leistungspflicht entsprechend grundsätzlich anerkannt und den Anspruch der Beschwerdegegnerin auf Hinterlassenenrente (gemäss Art. 29 und 31 UVG ) mit Wirkung ab 1. Februar 2005 bejaht (Verfügung vom 10. August 2007, Einspracheentscheid vom 23. Juli 2008). Uneinigkeit herrschte unter den Verfahrensbeteiligten im vorinstanzlichen Verfahren demgegenüber zum einen hinsichtlich der Frage, ob als Grundlage für die Berechnung der Hinterlassenenrente derjenige Lohn heranzuziehen ist, welchen der verstorbene Versicherte vor seiner Teilpensionierung auf 1996 als Vollzeitangestellter erwirtschaftet hatte, oder aber dem versicherten Verdienst das Einkommen zugrunde zu legen war, welches W.________ vor seiner ordentlichen Pensionierung auf Ende Mai 2000 ohne 20%ige Arbeitslosigkeit im Rahmen eines 50%igen Anstellungsverhältnisses bei der vormaligen Arbeitgeberin erzielt hätte. Ebenfalls strittig ist zum anderen, ob der derart ermittelte versicherte Verdienst oder aber die darauf beruhende (fiktive) Hinterlassenenrente bis zum Rentenbeginn auf 1. Februar 2005 der Teuerung anzupassen ist.</w:t>
      </w:r>
    </w:p>
    <w:p>
      <w:r>
        <w:rPr>
          <w:b/>
        </w:rPr>
        <w:t>E. 4.1</w:t>
      </w:r>
    </w:p>
    <w:p>
      <w:r>
        <w:t>Das Bundesgericht hat im Urteil BGE 135 V 279 , dem ein ähnlich gelagerter Sachverhalt zugrunde lag, erkannt, dass auf der Basis der relevanten Normenlage (namentlich Art. 15 Abs. 1-3 und Art. 34 Abs. 1 UVG ; Art. 22 Abs. 2 und 4, Art. 23 f. sowie Art. 44 f. UVV) für die hier zu beurteilende Konstellation - die versicherte Person ist bei Ausbruch der Berufskrankheit infolge Erreichen des AHV-Alters aus dem Erwerbsleben ausgeschieden und daher nicht mehr (weiter-)versichert (sog. Altersrentner) - keine spezifische Lösung vorgesehen ist. Die Konzeption des UVG beruht denn auch auf der Annahme, dass das versicherte Ereignis sich zu einem Zeitpunkt zugetragen hat, in welchem die versicherte Person noch erwerbstätig ist. In Fällen wie dem vorliegenden stellt die Unfallversicherung ausnahmsweise eine Versicherung für Nichterwerbstätige dar, für die in Bezug auf die Rentenbemessung keine einschlägigen Regelungen bestehen (vgl. Maurer, Schweizerisches Unfallversicherungsrecht, 1985, S. 362). Massgebend für die Rentenbemessung ist daher prinzipiell die Grundregel, wonach auf den letzten Lohn vor Eintritt des versicherten Ereignisses, d.h. hier des Ausbruchs der Berufskrankheit (Oktober 2002; vgl. Art. 9 Abs. 3 UVG ), abzustellen ist. Da ein solcher bei Altersrentnern gemeinhin nicht vorhanden ist, hat der Verdienst als wesentlich zu gelten, den die versicherte Person letztmals bezogen hat, als sie noch versichert war ( BGE 135 V 279 E. 4.1 und 4.2.1 S. 281 ff. mit Hinweisen auf Maurer, a.a.O., S. 220 oben; ders., Recht und Praxis der Schweizerischen obligatorischen Unfallversicherung, 1963, S. 133).</w:t>
      </w:r>
    </w:p>
    <w:p>
      <w:r>
        <w:rPr>
          <w:b/>
        </w:rPr>
        <w:t>E. 4.2</w:t>
      </w:r>
    </w:p>
    <w:p>
      <w:r>
        <w:t>Vor diesem Hintergrund wird letztinstanzlich seitens der Parteien zu Recht übereinstimmend nicht mehr beanstandet, dass für die Bemessung des versicherten Verdienstes derjenige Lohn entscheidend ist, den der Verstorbene als (bei der Beschwerdeführerin) versicherter Arbeitnehmer vor seiner ordentlichen Pensionierung auf den 31. Mai 2000 im Rahmen eines 50%-Pensums bei der ehemaligen Arbeitgeberin erzielt hätte. Es kann vollumfänglich auf die betreffenden einlässlichen Ausführungen der Vorinstanz verwiesen werden. Der den Einspracheentscheid der Beschwerdegegnerin vom 23. Juli 2008 in diesem Punkt bestätigende (Rückweisungs-)Entscheid erweist sich daher insofern als rechtens.</w:t>
      </w:r>
    </w:p>
    <w:p>
      <w:r>
        <w:rPr>
          <w:b/>
        </w:rPr>
        <w:t>E. 5</w:t>
      </w:r>
    </w:p>
    <w:p>
      <w:r>
        <w:t>Was die Frage der Teuerungsanpassung anbelangt, wurde in BGE 135 V 279 (insb. E. 5 S. 283 ff.) entschieden, dass eine Aufrechnung der - in casu hypothetisch für den Moment der ordentlichen Pensionierung des verstorbenen Versicherten auf Ende Mai 2000 berechneten, fiktiven - Hinterlassenenrente (und nicht des dieser zugrunde liegenden versicherten Verdienstes) um die bis zum tatsächlichen Rentenbeginn per 1. Februar 2005 aufgelaufene Teuerung zu erfolgen hat. Dieser Schluss resultiert unmissverständlich aus den rechtsverbindlichen E. 5.3.1 und 5.3.2 (S. 285 ff.) des Urteils, wohingegen das entsprechende, in der Amtlichen Sammlung publizierte Regest den Kerngehalt der Aussagen zugestandenermassen nicht ganz klar wiedergibt. In Anbetracht der massgeblichen Bestimmungen ( Art. 26 Abs. 2 ATSG in Verbindung mit Art. 7 ATSV ) und Rechtsprechung ( BGE 133 V 9 ; 131 V 358 ) zu keinen Beanstandungen Anlass gibt schliesslich die vorinstanzliche Verzugszinsberechnung, welche jedoch auf der Basis der nach dem Dargelegten zu ermittelnden Rentennachzahlungen vorzunehmen ist. Darauf wird verwiesen.</w:t>
      </w:r>
    </w:p>
    <w:p>
      <w:r>
        <w:rPr>
          <w:b/>
        </w:rPr>
        <w:t>E. 6</w:t>
      </w:r>
    </w:p>
    <w:p>
      <w:r>
        <w:t>Auf die Erhebung von Gerichtskosten wird verzichtet ( Art. 66 Abs. 1 Satz 2 BGG ). Eine Parteientschädigung steht der Beschwerdeführerin, da sie als mit öffentlich-rechtlichen Aufgaben betrauter Organisation in ihrem amtlichen Wirkungskreis obsiegt, gemäss Art. 68 Abs. 3 BGG nicht zu (Urteil 8C_606/2007 vom 27. August 2008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