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8C_461/2022 vom 8. September 2022</w:t>
      </w:r>
    </w:p>
    <w:p>
      <w:r>
        <w:t>Bundesgericht, 2022-09-08, DE</w:t>
      </w:r>
    </w:p>
    <w:p>
      <w:r>
        <w:rPr>
          <w:b/>
        </w:rPr>
        <w:t xml:space="preserve">Quelle: </w:t>
      </w:r>
      <w:r>
        <w:t>https://mcp.opencaselaw.ch/entscheid/bger_8C_461_2022</w:t>
      </w:r>
    </w:p>
    <w:p>
      <w:r>
        <w:t>FR: TF 8C_461/2022 du 8 septembre 2022</w:t>
      </w:r>
    </w:p>
    <w:p>
      <w:r>
        <w:t>IT: TF 8C_461/2022 del 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8C_461/2022</w:t>
      </w:r>
    </w:p>
    <w:p>
      <w:r>
        <w:t>Urteil vom 8. September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Arbeit, Lückenstrasse 8, 6430 Schwyz,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Schwyz vom 21. Juni 2022 (II 2022 38).</w:t>
      </w:r>
    </w:p>
    <w:p>
      <w:r>
        <w:t>Nach Einsicht</w:t>
      </w:r>
    </w:p>
    <w:p>
      <w:r>
        <w:t>in die Beschwerde vom 28. Juli 2022 (Poststempel) gegen den Entscheid des Verwaltungsgerichts des Kantons Schwyz vom 21. Juni 2022,</w:t>
      </w:r>
    </w:p>
    <w:p>
      <w:r>
        <w:t>in die Mitteilung des Bundesgerichts vom 29. Juli 2022 an A.________, worin unter anderem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8. August 2022 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von der Beschwerde führenden Person verlangt, sich konkret mit den für das Ergebnis des angefochtenen Entscheids massgeblichen Erwägungen auseinanderzusetzen; eine rein appellatorische Kritik genügt nicht ( BGE 136 I 65 E. 1.3.1 und 134 II 244 E. 2.1),</w:t>
      </w:r>
    </w:p>
    <w:p>
      <w:r>
        <w:t>dass auch von Beschwerde führenden Laien erwartet werden darf, auf die vorinstanzliche Begründung konkret einzugehen,</w:t>
      </w:r>
    </w:p>
    <w:p>
      <w:r>
        <w:t>dass die Vorinstanz die vom Beschwerdegegner gestützt auf Art. 30 Abs. 1 lit. d AVIG verfügte Einstellung in der Anspruchsberechtigung auf Arbeitslosentaggeld für die Dauer von 5 Tagen bestätigte, weil sich die Versicherte auf eine ihr zugewiesene, zumutbare Arbeitsstelle als Zwischenverdienst ohne entschuldbaren Grund nicht beworben habe,</w:t>
      </w:r>
    </w:p>
    <w:p>
      <w:r>
        <w:t>dass sie insbesondere die teils gegenteiligen Vorbringen betreffend des zur Einstellung in der Anspruchsberechtigung führenden Geschehensablaufs einlässlich würdigte,</w:t>
      </w:r>
    </w:p>
    <w:p>
      <w:r>
        <w:t>dass die Beschwerdeführerin letztinstanzlich nicht aufzeigt, inwiefern die dabei vorgenommene Beweiswürdigung rechtsfehlerhaft, d.h. willkürlich ( BGE 146 IV 88 E. 1.3.1 mit Hinweisen) erfolgt sein soll; lediglich die Vorkommnisse aus ihrer Sicht zu schildern und das Abstellen darauf zu fordern reicht genauso wenig aus, wie pauschal weitere Abklärungen zu verlangen,</w:t>
      </w:r>
    </w:p>
    <w:p>
      <w:r>
        <w:t>dass dieser Begründungsmangel offensichtlich ist,</w:t>
      </w:r>
    </w:p>
    <w:p>
      <w:r>
        <w:t>dass dies zu einem Nichteintreten im vereinfachten Verfahren nach Art. 108 Abs. 1 lit. b BGG führt,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Schwyz und dem Staatssekretariat für Wirtschaft (SECO) schriftlich mitgeteilt.</w:t>
      </w:r>
    </w:p>
    <w:p>
      <w:r>
        <w:t>Luzern, 8. September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