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8C_461/2009 vom 8. Dezember 2009</w:t>
      </w:r>
    </w:p>
    <w:p>
      <w:r>
        <w:t>Bundesgericht, 2009-12-08, FR</w:t>
      </w:r>
    </w:p>
    <w:p>
      <w:r>
        <w:rPr>
          <w:b/>
        </w:rPr>
        <w:t xml:space="preserve">Quelle: </w:t>
      </w:r>
      <w:r>
        <w:t>https://mcp.opencaselaw.ch/entscheid/bger_8C_461_2009</w:t>
      </w:r>
    </w:p>
    <w:p>
      <w:r>
        <w:t>FR: TF 8C_461/2009 du 8 décembre 2009</w:t>
      </w:r>
    </w:p>
    <w:p>
      <w:r>
        <w:t>IT: TF 8C_461/2009 del 8 dicembre 2009</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t>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droit de la recourante à l'indemnité journalière de chômage, plus précisément sur le point de savoir s'il faut nier ce droit en raison des liens existant entre l'assurée et son dernier employeur.</w:t>
      </w:r>
    </w:p>
    <w:p>
      <w:r>
        <w:rPr>
          <w:b/>
        </w:rPr>
        <w:t>E. 3</w:t>
      </w:r>
    </w:p>
    <w:p>
      <w:r>
        <w:t>Selon l' art. 31 al. 3 let .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rPr>
          <w:b/>
        </w:rPr>
        <w:t>E. 4</w:t>
      </w:r>
    </w:p>
    <w:p>
      <w:r>
        <w:t>Dans l' ATF 123 V 234 ,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C 193/04 du 7 décembre 2004 in DTA 2005 p. 130;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(cf. THOMAS NUSSBAUMER, Arbeitslosenversicherung, in : Schweizeriches Bundesverwaltungsrecht [SBVR], 2° éd. 2007, p. 2315 n. 461).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w:t>
      </w:r>
    </w:p>
    <w:p>
      <w:r>
        <w:rPr>
          <w:b/>
        </w:rPr>
        <w:t>E. 5</w:t>
      </w:r>
    </w:p>
    <w:p>
      <w:r>
        <w:t>La recourante fait grief aux premiers juges d'avoir méconnu le droit fédéral en appliquant dans son cas la jurisprudence découlant de l'arrêt 123 V 234. Elle estime que sa situation diffère sur un point essentiel: l'interruption de l'exploitation du « Y.________ » n'était pas un calcul entrepreneurial mais le résultat d'un événement de force majeure, soit un incendie.</w:t>
      </w:r>
    </w:p>
    <w:p>
      <w:r>
        <w:t>Ce moyen n'est pas fondé. Il est établi que le mari de la recourante est l'unique associé gérant de la société « X.________ S.à.r.l. » inscrit au Registre du commerce. Cette société est toujours en activité. Son but social ne se limite pas à l'exploitation d'une discothèque, puisqu'il englobe toutes activités dans le domaine de l'assistance aux petites et moyennes entreprises au niveau national et international. C'est dire qu'« X.________ S.à.r.l. » garde toujours la faculté de poursuivre son but social pour la réalisation duquel la recourante peut être réengagée (pour un cas comparable cf. arrêt C 157/06 du 22 janvier 2007 consid. 3.2.). Dans un tel contexte, la perte de travail n'est pas aisément vérifiable par la caisse, ce qui justifie, au regard de la jurisprudence, de ne pas assimiler l'assurée à une personne qui aurait définitivement quitté l'entreprise qui l'employait. En l'espèce, la perte de travail est d'autant moins vérifiable que le mari de l'assurée est économiquement propriétaire de deux autres entreprises, pour lesquelles celle-ci est susceptible de travailler (cf. arrêt C 65/04 du 29 juin 2004 in DTA 2004 p. 259; cf. également arrêt C 113/03 du 24 mars 2004 in DTA 2004 p. 196). On ajoutera que la recourante est elle-même associée de la société « Z.________ », si bien qu'elle peut influencer également par ce biais son engagement en tant qu'employée de cette entreprise.</w:t>
      </w:r>
    </w:p>
    <w:p>
      <w:r>
        <w:rPr>
          <w:b/>
        </w:rPr>
        <w:t>E. 6</w:t>
      </w:r>
    </w:p>
    <w:p>
      <w:r>
        <w:t>Dans ces conditions, c'est à juste titre que la juridiction cantonale a nié le droit de la recourante à l'indemnité de chômage.</w:t>
      </w:r>
    </w:p>
    <w:p>
      <w:r>
        <w:rPr>
          <w:b/>
        </w:rPr>
        <w:t>E. 7</w:t>
      </w:r>
    </w:p>
    <w:p>
      <w:r>
        <w:t>La recourante,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