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460/2023 vom 25. August 2023</w:t>
      </w:r>
    </w:p>
    <w:p>
      <w:r>
        <w:t>Bundesgericht, 2023-08-25, DE</w:t>
      </w:r>
    </w:p>
    <w:p>
      <w:r>
        <w:rPr>
          <w:b/>
        </w:rPr>
        <w:t xml:space="preserve">Quelle: </w:t>
      </w:r>
      <w:r>
        <w:t>https://mcp.opencaselaw.ch/entscheid/bger_8C_460_2023</w:t>
      </w:r>
    </w:p>
    <w:p>
      <w:r>
        <w:t>FR: TF 8C 460/2023 du 25 août 2023</w:t>
      </w:r>
    </w:p>
    <w:p>
      <w:r>
        <w:t>IT: TF 8C 460/2023 del 25 agosto 2023</w:t>
      </w:r>
    </w:p>
    <w:p>
      <w:pPr>
        <w:pStyle w:val="Heading2"/>
      </w:pPr>
      <w:r>
        <w:t>Regeste</w:t>
      </w:r>
    </w:p>
    <w:p>
      <w:r>
        <w:t>Ergänzungsleistung zur AHV/IV (Prozessvoraussetzung) | Ergänzungsleistung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20. Juni 2023 in Auseinandersetzung mit den Parteivorbringen und in Würdigung der Akten dar, weshalb der Einspracheentscheid der Beschwerdegegnerin vom 15. Februar 2023, worin dem Beschwerdeführer die am 10. Juni 2022 beantragten Ergänzungsleistungen zur AHV verwehrt wurden, rechtens ist. Demnach ist bei der am 26. Mai 2020 an die Lebenspartnerin erfolgten Zahlung von Fr. 100'000.- mangels gegenteiligem Beweis von einem freiwilligen Vermögensverzicht im Sinne von Art. 11a Abs. 2 ELG auszugehen, den es bei der Bedarfsermittlung zu berücksichtigen gilt.</w:t>
      </w:r>
    </w:p>
    <w:p>
      <w:r>
        <w:rPr>
          <w:b/>
        </w:rPr>
        <w:t>E. 3</w:t>
      </w:r>
    </w:p>
    <w:p>
      <w:r>
        <w:t>Darauf geht der Beschwerdeführer nicht hinreichend ein. Insbesondere zeigt er nicht auf, inwiefern die Vorinstanz bei der Wertung der Parteivorbringen und der aufliegenden Beweismittel in Willkür verfallen sein (dazu Näheres: BGE 146 IV 88 E. 1.3.1 f.; 140 III 115 E. 2; je mit Hinweisen) oder einen anderen Beschwerdegrund ( Art. 95 ff. BGG ) gesetzt haben soll. Lediglich das bereits vor Vorinstanz Vorgetragene zu wiederholen und eine Neuüberprüfung zu verlangen reicht im bundesgerichtlichen Verfahren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