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8C_459/2010 vom 15. Dezember 2010</w:t>
      </w:r>
    </w:p>
    <w:p>
      <w:r>
        <w:t>Bundesgericht, 2010-12-15, DE</w:t>
      </w:r>
    </w:p>
    <w:p>
      <w:r>
        <w:rPr>
          <w:b/>
        </w:rPr>
        <w:t xml:space="preserve">Quelle: </w:t>
      </w:r>
      <w:r>
        <w:t>https://mcp.opencaselaw.ch/entscheid/bger_8C_459_2010</w:t>
      </w:r>
    </w:p>
    <w:p>
      <w:r>
        <w:t>FR: TF 8C_459/2010 du 15 décembre 2010</w:t>
      </w:r>
    </w:p>
    <w:p>
      <w:r>
        <w:t>IT: TF 8C_459/2010 del 15 dicembre 2010</w:t>
      </w:r>
    </w:p>
    <w:p>
      <w:pPr>
        <w:pStyle w:val="Heading2"/>
      </w:pPr>
      <w:r>
        <w:t>Erwägungen</w:t>
      </w:r>
    </w:p>
    <w:p>
      <w:r>
        <w:rPr>
          <w:b/>
        </w:rPr>
        <w:t>E. 1.1</w:t>
      </w:r>
    </w:p>
    <w:p>
      <w:r>
        <w:t>Mit der Beschwerde in öffentlich-rechtlichen Angelegenheiten ( Art. 82 ff. BGG ) kann u.a.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S. 71 E. 2.2 [I 683/06]). Rechtsverletzungen sind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(nicht publ. E. 1 des Urteils BGE 135 V 306 ; Urteile 8C_945/2009 vom 23. September 2010 E. 1.2 und 8C_908/2009 vom 17. Dezember 2009 E. 1.2).</w:t>
      </w:r>
    </w:p>
    <w:p>
      <w:r>
        <w:rPr>
          <w:b/>
        </w:rPr>
        <w:t>E. 2.1</w:t>
      </w:r>
    </w:p>
    <w:p>
      <w:r>
        <w:t>Die Vorinstanz hat dem bidisziplinären Gutachten volle Beweiskraft zuerkannt und gestützt darauf eine Arbeitsfähigkeit von 60% in einer leidensangepassten, körperlich leichten bis mittelschweren Tätigkeit festgestellt. Im Rahmen der ausschlaggebenden Konsensbeurteilung (vgl. Urteile 9C_274/2009 vom 18. Juni 2009 E. 4.2, I 551/06 vom 2. April 2007 E. 4.2 und I 352/05 vom 2. November 2005 E. 3.1 i.f.) gemäss bidisziplinärem Gutachten (S. 20 ff.) nannten die explorierenden Fachärzte als Diagnosen mit Auswirkung auf die Arbeitsfähigkeit an erster Stelle ausdrücklich eine "anhaltende somatoforme Schmerzstörung (ICD-10 F45.4)", an zweiter Stelle eine "leichte bis mittelschwere depressive Episode (ICD-10 F32.1)" und abschliessend an dritter Stelle ein "chronisches Schmerzsyndrom oberes Sprunggelenk links bei Status nach Trimalleolar-Luxationsfraktur am 09.03.2007 (ICD-10 S82.9)". Bei der Feststellung der Arbeitsunfähigkeit hat das kantonale Gericht in Verkennung der Rechtslage den praxisgemäss geltenden Voraussetzungen für die Annahme einer invalidisierenden Einschränkungen der Leistungsfähigkeit im Sinne der mehrfach bestätigten Rechtsprechung zu den anhaltenden somatoformen Schmerzstörungen ( BGE 130 V 352 ) und zu den vergleichbaren pathogenetisch (ätiologisch) unklaren syndromalen Zuständen (vgl. BGE 136 V 279 E. 3.2.1 S. 282 mit Hinweisen) keine Beachtung geschenkt. In Verletzung des Untersuchungsgrundsatzes (vgl. E. 1.3 hievor) und somit bundesrechtswidrig hat es zu den massgebenden Kriterien ( BGE 130 V 352 E. 2.2.3 S. 354 f.), welche bei einer diagnostizierten anhaltenden somatoformen Schmerzstörung oder einem vergleichbaren Schmerzsyndrom nur ausnahmsweise auf die Nichtüberwindbarkeit der schmerzbedingten Beeinträchtigungen schliessen lassen, keine Tatsachenfeststellungen getroffen. Der an einem offensichtlichen Rechtsmangel leidende (vgl. hievor E. 1.2 i.f.) angefochtene Entscheid ist daher aufzuheben.</w:t>
      </w:r>
    </w:p>
    <w:p>
      <w:r>
        <w:rPr>
          <w:b/>
        </w:rPr>
        <w:t>E. 2.2</w:t>
      </w:r>
    </w:p>
    <w:p>
      <w:r>
        <w:t>Weder im Aufgabenbereich Haushalt noch im erwerblichen Bereich war unter den gegebenen Umständen von der ärztlich attestierten Arbeitsunfähigkeit gemäss bidisziplinärem Gutachten unbesehen auf eine entsprechende, invalidenversicherungsrechtlich relevante Einschränkung der trotz der geklagten Beschwerden zumutbaren Leistungsfähigkeit zu schliessen. Denn im Falle der hier zu beurteilenden Gesundheitsstörung ist praxisgemäss ( BGE 130 V 352 E. 2.2.3 S. 354 f.) nur bei einer mitwirkenden, psychisch ausgewiesenen Komorbidität von erheblicher Schwere, Intensität, Ausprägung und Dauer oder aber bei Vorhandensein anderer qualifizierter, mit gewisser Intensität und Konstanz erfüllter Kriterien von einer ausnahmsweise anzunehmenden Unzumutbarkeit der willentlichen Schmerzüberwindung auszugehen. In rechtlicher Hinsicht ist mit Blick auf die Begleitdiagnose einer "leichten bis mittelschweren depressiven Episode nach ICD-10 F32.1" klarzustellen, dass diese Diagnose die nach der Rechtsprechung für die Annahme der Nichtüberwindbarkeit einer Schmerzstörung vorausgesetzten Anforderungen an eine massgebliche, psychisch ausgewiesene Komorbidität nicht erfüllt, da die hier diagnostizierte depressive Störung als Begleiterscheinung der somatoformen Schmerzstörung gilt (Urteil 8C_945/2009 vom E. 10.1 mit Hinweisen) und jedenfalls - selbst wenn eine Komorbidität zu bejahen wäre - die geforderte Erheblichkeit nicht erreicht (Urteil 8C_144/2010 vom 4. August 2010 E. 3.5 mit Hinweisen). Ob - und gegebenenfalls welche - alternative Kriterien für eine allfällige Unzumutbarkeit der willentlichen Schmerzüberwindung sprechen, wird die Vorinstanz nach Feststellung der hiefür rechtserheblichen Tatsachen zu den weiteren Kriterien im Sinne von BGE 130 V 352 E. 2.2.3 S. 354 f. zu klären haben. Hernach wird das kantonale Gericht über die - allenfalls invalidisierenden - Auswirkungen der gesundheitlichen Beeinträchtigungen und damit über den strittigen Rentenanspruch neu entscheiden.</w:t>
      </w:r>
    </w:p>
    <w:p>
      <w:r>
        <w:rPr>
          <w:b/>
        </w:rPr>
        <w:t>E. 3</w:t>
      </w:r>
    </w:p>
    <w:p>
      <w:r>
        <w:t>Ist der angefochtene Entscheid ohnehin aufzuheben, kann die Frage, ob die Versicherte als Gesunde, wie von der Vorinstanz festgestellt, zu 100% oder gemäss IV-Stelle nur zu 70% erwerbstätig gewesen wäre, offen bleiben.</w:t>
      </w:r>
    </w:p>
    <w:p>
      <w:r>
        <w:rPr>
          <w:b/>
        </w:rPr>
        <w:t>E. 4</w:t>
      </w:r>
    </w:p>
    <w:p>
      <w:r>
        <w:t>Dem Ausgang des Verfahrens entsprechend hat die Beschwerdegegnerin grundsätzlich die Gerichtskosten zu tragen ( Art. 66 Abs. 1 BGG ). Ihrem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