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457/2014 vom 5. September 2014</w:t>
      </w:r>
    </w:p>
    <w:p>
      <w:r>
        <w:t>Bundesgericht, 2014-09-05, DE</w:t>
      </w:r>
    </w:p>
    <w:p>
      <w:r>
        <w:rPr>
          <w:b/>
        </w:rPr>
        <w:t xml:space="preserve">Quelle: </w:t>
      </w:r>
      <w:r>
        <w:t>https://mcp.opencaselaw.ch/entscheid/bger_8C_457_2014</w:t>
      </w:r>
    </w:p>
    <w:p>
      <w:r>
        <w:t>FR: TF 8C 457/2014 du 5 septembre 2014</w:t>
      </w:r>
    </w:p>
    <w:p>
      <w:r>
        <w:t>IT: TF 8C 457/2014 del 5 settembre 2014</w:t>
      </w:r>
    </w:p>
    <w:p>
      <w:pPr>
        <w:pStyle w:val="Heading2"/>
      </w:pPr>
      <w:r>
        <w:t>Regeste</w:t>
      </w:r>
    </w:p>
    <w:p>
      <w:r>
        <w:t>Unfallversicherung (Pflegeleistung) | Unfallversicherung</w:t>
      </w:r>
    </w:p>
    <w:p>
      <w:pPr>
        <w:pStyle w:val="Heading2"/>
      </w:pPr>
      <w:r>
        <w:t>Erwägungen</w:t>
      </w:r>
    </w:p>
    <w:p>
      <w:r>
        <w:rPr>
          <w:b/>
        </w:rPr>
        <w:t>E. 1.1</w:t>
      </w:r>
    </w:p>
    <w:p>
      <w:r>
        <w:t>Die Beschwerde kann wegen Rechtsverletzung gemäss Art. 95 und Art. 96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(vgl. BGE 130 III 136 E. 1.4 S. 140). Das Bundesgericht prüft grundsätzlich nur die geltend gemachten Rügen; es ist nicht gehalten, wie eine erstinstanzliche Behörde alle sich stellenden rechtlichen Fragen zu prüfen, wenn diese vor Bundesgericht nicht mehr vorgetragen wurden. Es kann die Verletzung von Grundrechten und von kantonalem und interkantonalem Recht nur insofern prüfen, als eine solche Rüge in der Beschwerde vorgebracht und begründet worden ist ( Art. 106 Abs. 2 BGG ).</w:t>
      </w:r>
    </w:p>
    <w:p>
      <w:r>
        <w:rPr>
          <w:b/>
        </w:rPr>
        <w:t>E. 1.2</w:t>
      </w:r>
    </w:p>
    <w:p>
      <w:r>
        <w:t>Streitig und zu prüfen ist, in welchem Umfang der Beschwerdeführer Anspruch auf Hauspflegeleistungen im Sinne von Art. 18 UVV hat. Der Streit betrifft somit Sachleistungen und nicht Geldleistungen der Unfallversicherung ( RUDOLF URSPRUNG/PETRA FLEISCHANDERL, Die Kognition des Eidgenössischen Versicherungsgerichts nach dem Bundesgesetz über das Bundesgericht [BGG], in: Festschrift 100 Jahre Aargauischer Anwaltsverband, Zürich 2005, S. 415 ff., S. 427). Das Bundesgericht prüft daher nur, ob das vorinstanzliche Gericht Bundesrecht verletzte, einschliesslich Überschreitung oder Missbrauch des Ermessens oder ob der rechtserhebliche Sachverhalt offensichtlich unrichtig, unvollständig oder unter Verletzung wesentlicher Verfahrensbestimmungen festgestellt wurde.</w:t>
      </w:r>
    </w:p>
    <w:p>
      <w:r>
        <w:rPr>
          <w:b/>
        </w:rPr>
        <w:t>E. 2.1</w:t>
      </w:r>
    </w:p>
    <w:p>
      <w:r>
        <w:t>Der Versicherte hat nach Art. 10 Abs. 1 UVG Anspruch auf die zweckmässige Behandlung der Unfallfolgen. Der Bundesrat kann gemäss Art. 10 Abs. 3 UVG die Leistungspflicht der Versicherung näher umschreiben und die Kostenvergütung für Behandlung im Ausland begrenzen. Er kann festlegen, unter welchen Voraussetzungen und in welchem Umfang der Versicherte Anspruch auf Hauspflege hat. Die versicherte Person hat nach Art. 18 Abs. 1 UVV Anspruch auf eine ärztlich angeordnete Hauspflege, sofern diese durch eine nach den Art. 49 und 51 KVV zugelassene Person oder Organisation durchgeführt wird. Ausnahmsweise kann der Versicherer in Anwendung von Art. 18 Abs. 2 UVV auch Beiträge an eine Hauspflege durch eine nicht zugelassene Person gewähren.</w:t>
      </w:r>
    </w:p>
    <w:p>
      <w:r>
        <w:rPr>
          <w:b/>
        </w:rPr>
        <w:t>E. 2.2</w:t>
      </w:r>
    </w:p>
    <w:p>
      <w:r>
        <w:t>Gemäss Art. 19 Abs. 1 Satz 2 UVG fallen mit dem Rentenbeginn die Heilbehandlung und die Taggeldleistungen grundsätzlich dahin. Nach der Festsetzung der Rente werden jedoch dem Bezüger die Pflegeleistungen und Kostenvergütungen (Art. 10-13) unter anderem dann gewährt, wenn er erwerbsunfähig ist und sein Gesundheitszustand durch medizinische Vorkehren wesentlich verbessert oder vor wesentlicher Beeinträchtigung bewahrt werden kann. Solche Leistungen im Sinne von Art. 21 Abs. 1 lit. d UVG gelten - anders als die gewöhnlichen Heilbehandlungsleistungen im Unfallversicherungsrecht - rechtsprechungsgemäss als Dauerleistungen mit der Folge, dass auf deren Zusprache nur zurückgekommen werden kann, wenn ein Rückkommenstitel (Wiedererwägung, Revision) besteht (RtiD 2011 I S. 206, 8C_896/2009 E. 4).</w:t>
      </w:r>
    </w:p>
    <w:p>
      <w:r>
        <w:rPr>
          <w:b/>
        </w:rPr>
        <w:t>E. 2.3</w:t>
      </w:r>
    </w:p>
    <w:p>
      <w:r>
        <w:t>Ändert sich der Invaliditätsgrad einer Rentenbezügerin oder eines Rentenbezügers erheblich, so wird gemäss Art. 17 Abs. 1 ATSG die Rente von Amtes wegen oder auf Gesuch hin für die Zukunft entsprechend erhöht, herabgesetzt oder aufgehoben. In Anwendung von Art. 17 Abs. 2 ATSG wird auch jede andere formell rechtskräftig zugesprochene Dauerleistung von Amtes wegen oder auf Gesuch hin erhöht, herabgesetzt oder aufgehoben, wenn sich der ihr zu Grunde liegende Sachverhalt nachträglich erheblich verändert hat (sog. Revision). Der Versicherungsträger kann zudem im Rahmen einer Wiedererwägung im Sinne von Art. 53 Abs. 2 ATSG auf formell rechtskräftige Verfügungen oder Einspracheentscheide zurückkommen, wenn diese zweifellos unrichtig sind und wenn ihre Berichtigung von erheblicher Bedeutung ist.</w:t>
      </w:r>
    </w:p>
    <w:p>
      <w:r>
        <w:rPr>
          <w:b/>
        </w:rPr>
        <w:t>E. 2.4</w:t>
      </w:r>
    </w:p>
    <w:p>
      <w:r>
        <w:t>Auch wenn die Zusprache einer Dauerleistung auf einem Vergleich beruht, ist diese revidierbar im Sinne von Art. 17 Abs. 2 ATSG (vgl. Urteil 8C_739/2011 vom 20. August 2012 E. 4.1). Ebenso kann auch eine einen Vergleich bestätigende Verfügung wie eine gewöhnliche Verfügung in Wiedererwägung gezogen werden. Es sind jedoch im Rahmen von Art. 53 Abs. 2 ATSG höhere Voraussetzungen zu stellen, um dem Vergleichscharakter Rechnung zu tragen ( BGE 138 V 147 insbesondere E. 2.3 S. 149).</w:t>
      </w:r>
    </w:p>
    <w:p>
      <w:r>
        <w:rPr>
          <w:b/>
        </w:rPr>
        <w:t>E. 3.1</w:t>
      </w:r>
    </w:p>
    <w:p>
      <w:r>
        <w:t>Vorinstanz und Verwaltung gingen davon aus, dass die sich auf den im Jahre 1997 abgeschlossenen Vergleich stützende Leistungszusprache zweifellos unrichtig gewesen war und daher im Rahmen von Art. 53 Abs. 2 ATSG auf diese zurückgekommen werden kann. Wie es sich damit verhält, braucht vorliegend indessen nicht näher geprüft zu werden, da sich seit Abschluss des Vergleiches der ihm zu Grunde liegende Sachverhalt nachträglich erheblich verändert hat und daher im Rahmen von Art. 17 Abs. 2 ATSG der Leistungsanspruch für die Zukunft neu geprüft werden darf: Im Zeitpunkt des Vergleiches im Jahre 1997 war vorgesehen, dass die Mutter des Versicherten bei der Pflege mithilft und diese Mithilfe in Anwendung von Art. 18 Abs. 2 UVV teilweise abgegolten wird. Nachdem die Mutter nunmehr das Rentenalter erreicht hat und daher aus nachvollziehbaren Gründen nicht mehr im gleichen Umfang an der Pflege mitwirken kann, darf und muss der Pfegebeitrag für die Zukunft neu bestimmt werden. Die SUVA hat zwar zunächst die bisherige Regelung auch nach der Pensionierung der Mutter weitergeführt, dies jedoch nur deshalb, weil das Zentrum C.________ einen Beitrag an die Kosten zu tragen bereit war. Nachdem diese Bereitschaft nun nicht mehr gegeben ist, liegt eine erhebliche Veränderung des Sachverhalts vor.</w:t>
      </w:r>
    </w:p>
    <w:p>
      <w:r>
        <w:rPr>
          <w:b/>
        </w:rPr>
        <w:t>E. 3.2</w:t>
      </w:r>
    </w:p>
    <w:p>
      <w:r>
        <w:t>Es steht fest und ist unbestritten, dass der Versicherte auch über Oktober 2012 hinaus im Rahmen von Art. 18 Abs. 1 UVV in Verbindung mit Art. 21 Abs. 1 lit. d UVG Anspruch auf Hauspflege zu Lasten der SUVA hat. Streitig ist lediglich der Umfang dieses Anspruchs. Die SUVA anerkennt einen Pflegeaufwand von täglich rund 191 Minuten als spezielle medizinische Pflegeleistungen. Nicht als medizinische Pflege und als bereits durch die Hilflosenentschädigung abgegolten gelten unbestrittenermassen der durch die Vorinstanz verbindlich festgestellte Aufwand von täglich 157 Minuten für Duschen, Waschen usw. Als einziger streitiger Punkt bleibt somit die Frage, ob die Beschwerdegegnerin auch jenen Aufwand abzugelten hat, der dadurch entsteht, dass der Versicherte aufgrund der Beatmung und der vollständigen Lähmung 24 Stunden pro Tag der Überwachung bedarf. Die SUVA stellte sich im vorinstanzlichen Verfahren auf den Standpunkt, diese Dauerüberwachung sei mit der Hilflosenentschädigung abgegolten. Rechtsprechungsgemäss kann jedoch keine Rede davon sein, dass die effektiv vollzogenen umfangreichen Pflegeleistungen pauschal durch die Hilflosenentschädigung abgegolten sind; es bleibt vielmehr noch Raum für eine zusätzliche Vergütung im Rahmen von Art. 18 Abs. 1 UVV (vgl. BGE 116 V 41 E. 6c S. 49). Vorliegend fällt ins Gewicht, dass die dauernde Überwachung durch medizinisch geschultes Personal sichergestellt werden muss, ist es doch notwendig, dass die überwachende Person im Falle eines Problems mit dem Beatmungsgerät oder Sekretbildung in der Kanüle sofort intervenieren kann. Somit stellt die Überwachung im konkreten Fall eine medizinische Pflegeleistung dar, für welche grundsätzlich im Rahmen von Art. 18 Abs. 1 UVV eine Leistungspflicht der SUVA besteht. Entsprechend ist die Beschwerde des Versicherten gutzuheissen und die Sache unter Aufhebung des Einsprache- und des kantonalen Gerichtsentscheides an die Beschwerdegegnerin zurückzuweisen, damit diese den durch die medizinische Überwachung entstehenden Aufwand abschätze und hernach über die Höhe des Anspruchs nach Art. 18 Abs. 1 UVV neu verfüge.</w:t>
      </w:r>
    </w:p>
    <w:p>
      <w:r>
        <w:rPr>
          <w:b/>
        </w:rPr>
        <w:t>E. 4</w:t>
      </w:r>
    </w:p>
    <w:p>
      <w:r>
        <w:t>Das Verfahren ist kostenpflichtig ( Art. 65 BGG ). Als unterliegende Partei hat die Beschwerdegegnerin die Gerichtskosten zu tragen ( Art. 66 Abs. 1 BGG ; BGE 133 V 642 E. 5) und dem Beschwerdeführer überdies eine Parteientschädigung zu entrichten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