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8C_457/2009 vom 7. April 2010</w:t>
      </w:r>
    </w:p>
    <w:p>
      <w:r>
        <w:t>Bundesgericht, 2010-04-07, FR</w:t>
      </w:r>
    </w:p>
    <w:p>
      <w:r>
        <w:rPr>
          <w:b/>
        </w:rPr>
        <w:t xml:space="preserve">Quelle: </w:t>
      </w:r>
      <w:r>
        <w:t>https://mcp.opencaselaw.ch/entscheid/bger_8C_457_2009</w:t>
      </w:r>
    </w:p>
    <w:p>
      <w:r>
        <w:t>FR: TF 8C_457/2009 du 7 avril 2010</w:t>
      </w:r>
    </w:p>
    <w:p>
      <w:r>
        <w:t>IT: TF 8C_457/2009 del 7 aprile 2010</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 1C_116/2007 du 24 septembre 2007 consid. 2). Ainsi, le motif d'exclusion de l' art. 83 let . g LTF n'entre pas en considération en l'occurrence.</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qu'il s'agisse d'une décision sur le fond ou d'une décision d'irrecevabilité ( ATF 133 V 477 consid. 4.1.1 p. 480; 129 III 107 consid. 1.2.1 p. 110) - la valeur litigieuse est déterminée par les conclusions restées litigieuses devant l'autorité précédente ( art. 51 al. 1 let. a LTF ). En l'occurrence, le seuil requis de la valeur litigieuse est atteint.</w:t>
      </w:r>
    </w:p>
    <w:p>
      <w:r>
        <w:rPr>
          <w:b/>
        </w:rPr>
        <w:t>E. 1.3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(CEDH; Message concernant la révision totale de l'organisation judiciaire fédérale du 28 février 2001, in FF 2001, p. 4133). A cet égard, le Tribunal fédéral n'examinera le moyen tiré de la violation d'une norme de rang constitutionnel - contenue notamment dans la CEDH ( ATF 131 I 366 consid. 2.2 p. 368 et les références) - que si le grief a été invoqué et motivé de manière précise ( art. 106 al. 2 LTF ).</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w:t>
      </w:r>
    </w:p>
    <w:p>
      <w:r>
        <w:rPr>
          <w:b/>
        </w:rPr>
        <w:t>E. 2.1</w:t>
      </w:r>
    </w:p>
    <w:p>
      <w:r>
        <w:t>La juridiction cantonale a déclaré irrecevable l'action pécuniaire dont elle était saisie. Elle s'est fondée sur l'art. 56G al. 1 let. a de la loi cantonale d'organisation judiciaire du 22 novembre 1941 (LOJ; RSG E 2 05), dans sa version en vigueur jusqu'au 31 décembre 2008, aux termes duquel une action pécuniaire devant le tribunal administratif est ouverte pour les actions relatives à des prétentions de nature pécuniaire fondées sur le droit public cantonal qui ne peuvent pas faire l'objet d'une décision au sens de l'art. 56A al. 2 LOJ et qui découlent des rapports entre l'Etat, les communes, les autres corporations et établissements de droit public et leurs agents publics. S'appuyant sur la réglementation régissant le traitement du personnel de l'Etat (loi concernant le traitement et les diverses prestations alloués aux membres du personnel de l'Etat et des établissements hospitaliers du 21 décembre 1973 [LTrait; RSG B 5 15] et son règlement d'application du 17 octobre 1979 [RTrait; RSG B 5 15.01]; règlement instituant une commission de réexamen en matière d'évaluation des fonctions du 7 avril 1982 [RComEF; RSG B 5 15.04]), le Tribunal administratif a considéré que seul le Conseil d'Etat est compétent pour modifier la classification d'une fonction existante, le rôle du service d'évaluation des fonctions de l'OPE consistant seulement à faire une proposition. Dès lors, la collocation de la fonction de formateur de l'enseignement en classe maximum 20 repose sur une proposition, de sorte que l'action pécuniaire est irrecevable en tant qu'elle est fondée sur le rapport d'évaluation de l'OPE du 27 (recte: 19) juillet 2007. Par ailleurs, en indiquant, le 24 août 2007, que les formateurs, maîtres spécialistes en psychomotricité détachés de l'enseignement ordinaire et/ou de l'enseignement spécialisé, voyaient leur salaire passer de la classe 14 à la classe 16 et qu'une indemnité correspondant à la différence de deux classes (16/00 à 18/00 ou 18/00 à 20/00) leur était octroyée, le DIP a fixé l'étendue du droit au traitement et à l'indemnité complémentaire de l'intéressée. Comme elle concerne la réévaluation de la fonction de formateur, cette décision ne peut pas faire l'objet d'un recours au regard de la LOJ dans sa teneur en vigueur jusqu'au 31 décembre 2008 ni être remise en cause par une action pécuniaire, laquelle se révèle ainsi irrecevable.</w:t>
      </w:r>
    </w:p>
    <w:p>
      <w:r>
        <w:t>La recourante invoque l' art. 6 par. 1 CEDH pour se plaindre du fait que sa cause n'a pas pu être soumise à une autorité judiciaire.</w:t>
      </w:r>
    </w:p>
    <w:p>
      <w:r>
        <w:t>Dans sa réponse au recours, l'intimé fait valoir que, afin de respecter les exigences de l' art. 6 par. 1 CEDH , le tribunal administratif a étendu la notion de prétentions de nature pécuniaire au sens de l'art. 56G LOJ dans sa teneur valable jusqu'au 31 décembre 2008. Ainsi, pour le tribunal administratif, sont des prétentions de nature pécuniaire, c'est-à-dire appréciables en argent, celles qui tendent directement à l'octroi de sommes en espèces, notamment au paiement de traitements, d'allocations, d'indemnités ou de prestations d'assurance. Entrent aussi dans cette catégorie les droits qui sont étroitement liés à un rapport juridique appréciable en argent, comme une demande en paiement de la réparation financière des désavantages que le fonctionnaire a subis en raison d'une clause illicite de traitement contenue dans l'engagement ou comme les prétentions concernant le paiement des heures supplémentaires et en versement d'une indemnité pour vacances non prises. En revanche, ne sont pas considérées comme des prétentions de nature pécuniaire celles qui ont trait notamment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pouvoir d'appréciation entier, personne ne saurait, selon la jurisprudence du tribunal administratif, exiger de l'autorité une prestation dont l'octroi est laissé à sa discrétion. Cela étant, l'intimé est d'avis qu'en l'occurrence l'action pécuniaire de la recourante avait pour but principal de contester le choix politique exprimé par le DIP, de ne pas suivre la proposition du service d'évaluation des fonctions de l'OPE. La volonté du DIP de ne pas suivre cette proposition concernait un objet pour lequel il disposait d'un pouvoir d'appréciation entier, dont l'octroi était laissé à sa discrétion et qui ne peut dès lors pas faire l'objet d'une garantie d'accès à un juge.</w:t>
      </w:r>
    </w:p>
    <w:p>
      <w:r>
        <w:rPr>
          <w:b/>
        </w:rPr>
        <w:t>E. 2.2</w:t>
      </w:r>
    </w:p>
    <w:p>
      <w:r>
        <w:t>Le Tribunal fédéral a déjà eu l'occasion de se prononcer dans des affaires semblables (arrêts 1C_355/2007 du 6 novembre 2008 et 1C_267/2008 du 27 octobre 2008). Il a relevé que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jurisprudence de la Cour européenne des droits de l'homme a récemment étendu le champ d'application de cette disposition en ce qui concerne les employés publics. Elle s'est écartée de l'ancien "critère fonctionnel", selon lequel étaient soustraits au champ d'application de l' art. 6 par. 1 CEDH "les litiges des agents publics dont l'emploi était caractéristique des activités spécifiques de l'administration publique dans la mesure où celle-ci agit comme détentrice de la puissance publique chargée de la sauvegarde des intérêts généraux de l'Etat ou des autres collectivités publiques" (arrêt Pellegrin contre France du 8 décembre 1999, Recueil CourEDH 1999-VIII § 66). Désormais, il y a une présomption que l' 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 Vilho Eskelinen et autres contre Finlande du 19 avril 2007, § 62).</w:t>
      </w:r>
    </w:p>
    <w:p>
      <w:r>
        <w:rPr>
          <w:b/>
        </w:rPr>
        <w:t>E. 2.3</w:t>
      </w:r>
    </w:p>
    <w:p>
      <w:r>
        <w:t>En l'occurrence, les conditions posées par la jurisprudence pour soustraire un employé public à la protection offerte par l' art. 6 par. 1 CEDH ne sont pas réunies. En effet, le droit applicable n'exclut pas expressément, pour des motifs qui seraient liés à l'intérêt de l'Etat, l'accès à un tribunal pour le poste de la recourante ou pour la catégorie de salariés à laquelle elle appartient. Or, l'intéressée s'est vu refuser l'accès au tribunal administratif et il n'apparaît pas en l'état que sa cause puisse être examinée par une autre autorité judiciaire cantonale, le tribunal administratif et l'intimé ne soutenant d'ailleurs pas le contraire. Par ailleurs, sous l'angle de l' art. 6 par. 1 CEDH , le Tribunal fédéral ne saurait être la seule autorité judiciaire compétente pour connaître du litige. Son pouvoir d'examen est en effet fortement limité en ce qui concerne les faits de la cause, puisqu'il statue en principe sur la base des faits établis par l'autorité précédente ( art. 105 al. 1 LTF ). Il convient en outre de relever que, même si le législateur cantonal avait prévu une dérogation, le domaine d'activité en cause et l'objet du litige sont manifestement étrangers à l'exercice de l'autorité étatique, de sorte qu'il n'y a pas de raison objective de soustraire cette cause aux garanties de l' art. 6 CEDH . Enfin, savoir si l'intéressée peut déduire une prétention de la décision ou du moins de l'avis du service d'évaluation des fonctions relève du fond et non de la recevabilité de l'action : c'est précisément ce point que l'autorité est appelée à trancher.</w:t>
      </w:r>
    </w:p>
    <w:p>
      <w:r>
        <w:t>Dans ces conditions, il y a lieu de constater que la cause de la recourante n'a pas été examinée par un tribunal, de sorte que l' art. 6 par. 1 CEDH a été violé. Il se justifie donc de renvoyer l'affaire au tribunal administratif pour qu'il statue sur le fond du litige ou qu'il transmette la cause à une autre autorité judiciaire répondant aux exigences posées à l' art. 30 al. 1 Cst.</w:t>
      </w:r>
    </w:p>
    <w:p>
      <w:r>
        <w:rPr>
          <w:b/>
        </w:rPr>
        <w:t>E. 3</w:t>
      </w:r>
    </w:p>
    <w:p>
      <w:r>
        <w:t>Il s'ensuit que le recours en matière de droit public doit être admis et l'arrêt attaqué annulé, l'affaire étant renvoyée au tribunal administratif pour nouvelle décision dans le sens des considérants.</w:t>
      </w:r>
    </w:p>
    <w:p>
      <w:r>
        <w:rPr>
          <w:b/>
        </w:rPr>
        <w:t>E. 4</w:t>
      </w:r>
    </w:p>
    <w:p>
      <w:r>
        <w:t>Les frais judiciaires sont mis à la charge de l'intimé qui succombe ( art. 66 al. 1 LTF ). La recourante, assistée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