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8C_456/2024 vom 5. September 2024</w:t>
      </w:r>
    </w:p>
    <w:p>
      <w:r>
        <w:t>Bundesgericht, 2024-09-05, DE</w:t>
      </w:r>
    </w:p>
    <w:p>
      <w:r>
        <w:rPr>
          <w:b/>
        </w:rPr>
        <w:t xml:space="preserve">Quelle: </w:t>
      </w:r>
      <w:r>
        <w:t>https://mcp.opencaselaw.ch/entscheid/bger_8C_456_2024</w:t>
      </w:r>
    </w:p>
    <w:p>
      <w:r>
        <w:t>FR: TF 8C_456/2024 du 5 septembre 2024</w:t>
      </w:r>
    </w:p>
    <w:p>
      <w:r>
        <w:t>IT: TF 8C_456/2024 del 5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22. Mai 2024 in Auseinandersetzung mit den Parteivorbringen und Würdigung der Beweismittel näher dar, weshalb es der Beschwerdegegnerin mit Einspracheentscheid vom 21. Februar 2024 gestattet war, einen allfälligen Anspruch auf Arbeitslosenentschädigung für die Monate Februar bis Juni 2023 als erloschen zu erklären. Demnach stand es der Beschwerdegegnerin zwecks Prüfung der Anspruchsvoraussetzungen zu, von der Beschwerdeführerin ein Arztzeugnis über die Arbeitsfähigkeit für die Zeit ab dem 1. Februar 2023 zu verlangen und gestützt auf Art. 29 Abs. 3 AVIV eine Nachfrist zu setzen mit dem Hinweis auf die Verwirkungsfolge bei verspäteter Einreichung.</w:t>
      </w:r>
    </w:p>
    <w:p>
      <w:r>
        <w:rPr>
          <w:b/>
        </w:rPr>
        <w:t>E. 3</w:t>
      </w:r>
    </w:p>
    <w:p>
      <w:r>
        <w:t>Was die Beschwerdeführerin dagegen vorträgt, vermag den eingangs aufgezeigten Begründungsanforderungen nicht zu genügen. Weder zeigt sie in ihrer Eingabe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zu behaupten, das eingeforderte Arztzeugnis sei entgegen der vorinstanzlichen Auffassung zur Anspruchsprüfung nicht erforderlich gewesen, ohne auf die diesbezüglichen Erwägungen näher einzugehen, reicht nicht aus. Ungenügend ist ferner, das Fehlen einer hinreichenden Gesetzesgrundlage für die Vorgehensweise der Beschwerdegegnerin zu behaupten, ohne auf die im angefochtenen Entscheid erwähnten Gesetzesbestimmungen einzugehen. Das pauschale Anrufen von verfassungsmässigen Rechten reicht ebenso wenig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