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8C_453/2020 vom 14. Oktober 2020</w:t>
      </w:r>
    </w:p>
    <w:p>
      <w:r>
        <w:t>Bundesgericht, 2020-10-14, FR</w:t>
      </w:r>
    </w:p>
    <w:p>
      <w:r>
        <w:rPr>
          <w:b/>
        </w:rPr>
        <w:t xml:space="preserve">Quelle: </w:t>
      </w:r>
      <w:r>
        <w:t>https://mcp.opencaselaw.ch/entscheid/bger_8C_453_2020</w:t>
      </w:r>
    </w:p>
    <w:p>
      <w:r>
        <w:t>FR: TF 8C_453/2020 du 14 octobre 2020</w:t>
      </w:r>
    </w:p>
    <w:p>
      <w:r>
        <w:t>IT: TF 8C_453/2020 del 14 ottobre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8C_453/2020</w:t>
      </w:r>
    </w:p>
    <w:p>
      <w:r>
        <w:t>Arrêt du 14 octobre 2020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 justice de la République et canton de Genève, Chambre des assurances sociales, du 15 juin 2020 (A/4000/2018 ATAS/480/2020).</w:t>
      </w:r>
    </w:p>
    <w:p>
      <w:r>
        <w:t>Vu :</w:t>
      </w:r>
    </w:p>
    <w:p>
      <w:r>
        <w:t>l'arrêt rendu le 15 juin 2020 par la Chambre des assurances sociales de la Cour de justice de la République et canton de Genève dans une cause opposant A.________ à la Caisse nationale suisse d'assurance en cas d'accidents,</w:t>
      </w:r>
    </w:p>
    <w:p>
      <w:r>
        <w:t>la lettre du 6 juillet 2020 (timbre postal) par laquelle A.________ conteste l'arrêt cantonal,</w:t>
      </w:r>
    </w:p>
    <w:p>
      <w:r>
        <w:t>l'avis du 14 juillet 2020 par lequel le Tribunal fédéral a informé l'intéressé qu'il avait la possibilité de remédier aux irrégularités que son recours semblait présenter (défaut de motivation et de conclusions) avant l'expiration du délai de recours,</w:t>
      </w:r>
    </w:p>
    <w:p>
      <w:r>
        <w:t>considérant :</w:t>
      </w:r>
    </w:p>
    <w:p>
      <w:r>
        <w:t>que selon l'art. 108 al. 1 let. b de la loi du 17 juin 2005 sur le Tribunal fédéral (LTF; RS 173.110), le président de la cour ou un autre juge désigné par lui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qu'on comprenne clairement, à la lecture de son exposé, quelles règles de droit auraient été, selon elle, transgressées par l'autorité cantonale ( ATF 142 I 99 consid. 1.7.1 p. 106 et les références),</w:t>
      </w:r>
    </w:p>
    <w:p>
      <w:r>
        <w:t>que dans sa lettre de recours, le recourant se limite à dire qu'il souhaite "faire appel" du jugement entrepris et qu'il fera parvenir dans les prochains jours "tous [ses] arguments",</w:t>
      </w:r>
    </w:p>
    <w:p>
      <w:r>
        <w:t>qu'en dépit de l'avis du 14 juillet 2020, le recourant n'a pas remédié aux irrégularités de son écriture,</w:t>
      </w:r>
    </w:p>
    <w:p>
      <w:r>
        <w:t>que le recours ne respecte par conséquent manifestement pas les exigences minimales de l' art. 42 al. 1 et 2 LTF ,</w:t>
      </w:r>
    </w:p>
    <w:p>
      <w:r>
        <w:t>qu'il doit par conséquent être déclaré irrecevable et traité selon la procédure simplifiée prévue à l' art. 108 al. 1 let. b LTF ,</w:t>
      </w:r>
    </w:p>
    <w:p>
      <w:r>
        <w:t>qu'il est renoncé à percevoir des frais judiciaires (art. 66 al. 1, 2</w:t>
      </w:r>
    </w:p>
    <w:p>
      <w:r>
        <w:t>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 la santé publique.</w:t>
      </w:r>
    </w:p>
    <w:p>
      <w:r>
        <w:t>Lucerne, le 14 octobre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