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452/2022 vom 8. August 2022</w:t>
      </w:r>
    </w:p>
    <w:p>
      <w:r>
        <w:t>Bundesgericht, 2022-08-08, FR</w:t>
      </w:r>
    </w:p>
    <w:p>
      <w:r>
        <w:rPr>
          <w:b/>
        </w:rPr>
        <w:t xml:space="preserve">Quelle: </w:t>
      </w:r>
      <w:r>
        <w:t>https://mcp.opencaselaw.ch/entscheid/bger_8C_452_2022</w:t>
      </w:r>
    </w:p>
    <w:p>
      <w:r>
        <w:t>FR: TF 8C 452/2022 du 8 août 2022</w:t>
      </w:r>
    </w:p>
    <w:p>
      <w:r>
        <w:t>IT: TF 8C 452/2022 del 8 agosto 2022</w:t>
      </w:r>
    </w:p>
    <w:p>
      <w:pPr>
        <w:pStyle w:val="Heading2"/>
      </w:pPr>
      <w:r>
        <w:t>Regeste</w:t>
      </w:r>
    </w:p>
    <w:p>
      <w:r>
        <w:t>Aide sociale (condition de recevabilité) | Santé &amp; sécurité sociale</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1.3</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w:t>
      </w:r>
    </w:p>
    <w:p>
      <w:r>
        <w:rPr>
          <w:b/>
        </w:rPr>
        <w:t>E. 2.1</w:t>
      </w:r>
    </w:p>
    <w:p>
      <w:r>
        <w:t>La cour cantonale a constaté que le litige portait uniquement sur la surtaxe relative au mois de septembre 2020; en revanche, il ne portait ni sur la surtaxe relative à d'autres mois ni sur l'attribution d'un logement plus spacieux au recourant et à sa famille. Les juges cantonaux ont retenu qu'en application de la Loi générale sur le logement et la protection des locataires du 4 décembre 1997 (LGL; RS/GE I 4 05), une surtaxe était possible pour un logement en sur-occupation comme celui du recourant. En l'occurrence, le taux d'effort en cas de dépassement du barème de sortie devait être fixé à 29 %, ce qui conduisait à une surtaxe de 867 fr. 40 à la charge du recourant pour le mois de septembre 2020.</w:t>
      </w:r>
    </w:p>
    <w:p>
      <w:r>
        <w:rPr>
          <w:b/>
        </w:rPr>
        <w:t>E. 2.2</w:t>
      </w:r>
    </w:p>
    <w:p>
      <w:r>
        <w:t>Dans son écriture, le recourant n'expose pas en quoi la juridiction cantonale aurait versé dans l'arbitraire ou violé un droit fondamental en appliquant le droit cantonal, plus particulièrement les dispositions de la LGL, et en retenant une surtaxe de 867 fr. 40 pour le mois de septembre 2020. Sur ce point, le recours ne contient aucune critique à l'encontre de la motivation topique des premiers juges. Le recourant se limite à rediscuter des faits exorbitants à l'objet de la contestation, comme le montant de son revenu pour le mois d'août 2020, son relogement ou encore le calcul de la surtaxe entre le 1 er janvier 2019 et le 31 août 2020. Par ailleurs, en tant qu'il se plaint d'un déni de justice formel en lien avec le refus du tribunal cantonal de joindre la cause A/3072/2021 et la cause A/1156/2021, déjà jugée le 18 janvier 2022 par la cour cantonale, le recourant perd de vue qu'il ne dispose sur ce point d'aucun intérêt actuel digne de protection - au sens de l' art. 89 al. 1 let . c LTF - à une annulation ou à une modification de l'arrêt attaqué (cf. arrêt 2C_81/2009 du 26 mai 2009 consid. 2.2.1 et les références).</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Il s'ensuit que la requête d'assistance judiciaire est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