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8C_452/2013 vom 18. September 2013</w:t>
      </w:r>
    </w:p>
    <w:p>
      <w:r>
        <w:t>Bundesgericht, 2013-09-18, DE</w:t>
      </w:r>
    </w:p>
    <w:p>
      <w:r>
        <w:rPr>
          <w:b/>
        </w:rPr>
        <w:t xml:space="preserve">Quelle: </w:t>
      </w:r>
      <w:r>
        <w:t>https://mcp.opencaselaw.ch/entscheid/bger_8C_452_2013</w:t>
      </w:r>
    </w:p>
    <w:p>
      <w:r>
        <w:t>FR: TF 8C_452/2013 du 18 septembre 2013</w:t>
      </w:r>
    </w:p>
    <w:p>
      <w:r>
        <w:t>IT: TF 8C_452/2013 del 18 settembre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Anspruch der Beschwerdeführerin auf Leistungen der Invalidenversicherung verneinte.</w:t>
      </w:r>
    </w:p>
    <w:p>
      <w:r>
        <w:rPr>
          <w:b/>
        </w:rPr>
        <w:t>E. 3</w:t>
      </w:r>
    </w:p>
    <w:p>
      <w:r>
        <w:t>Das kantonale Gericht hat in umfassender Würdigung der medizinischen Akten, insbesondere gestützt auf das Gutachten des ZMB vom 17. Mai 2011, für das Bundesgericht grundsätzlich verbindlich festgestellt, dass die Versicherte in der Lage wäre, sowohl ihrer angestammten wie auch einer leidensangepassten Tätigkeit vollzeitlich mit einer um 30 % eingeschränkten Leistungsfähigkeit nachzugehen. Was die Beschwerdeführerin gegen diese Feststellung vorbringt, vermag sie nicht als bundesrechtswidrig erscheinen zu lassen. Entgegen ihren Vorbringen schmälert es den Beweiswert des Gutachtens nicht, dass die Experten die Schwierigkeiten und Unsicherheiten, mit denen die Begutachtung verbunden ist, offenlegen; ein verlässliches Gutachten zeichnet sich vielmehr gerade dadurch aus, dass die Experten ihre Grenzen transparent kommunizieren (vgl. Susanne Bollinger, Der Beweiswert psychiatrischer Gutachten in der Invalidenversicherung, in: Jusletter 31. Januar 2011, Rz. 24). Die von der Beschwerdeführerin im kantonalen Verfahren aufgelegten Berichte der Dr. med. D.________, Psychiatrie und Psychotherapie FMH, vom 20. April und vom 16. Juli 2012 enthalten keine konkrete Indizien, welche gegen die Zuverlässigkeit des Gutachtens des ZMB sprechen würden (vgl. BGE 135 V 465 E. 4.4 S. 470). Zudem kann auch nicht gesagt werden, das Gutachten sei in sich selber widersprüchlich. Durfte die Vorinstanz demnach, ohne gegen Bundesrecht zu verstossen, bezüglich der Schätzung der verbliebenen Arbeitsfähigkeit auf das Gutachten des ZMB abstellen, so ist der kantonale Entscheid nicht zu beanstanden. Die Beschwerde der Versicherten ist demgemäss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