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451/2020 vom 23. Juli 2020</w:t>
      </w:r>
    </w:p>
    <w:p>
      <w:r>
        <w:t>Bundesgericht, 2020-07-23, DE</w:t>
      </w:r>
    </w:p>
    <w:p>
      <w:r>
        <w:rPr>
          <w:b/>
        </w:rPr>
        <w:t xml:space="preserve">Quelle: </w:t>
      </w:r>
      <w:r>
        <w:t>https://mcp.opencaselaw.ch/entscheid/bger_8C_451_2020</w:t>
      </w:r>
    </w:p>
    <w:p>
      <w:r>
        <w:t>FR: TF 8C 451/2020 du 23 juillet 2020</w:t>
      </w:r>
    </w:p>
    <w:p>
      <w:r>
        <w:t>IT: TF 8C 451/2020 del 23 luglio 2020</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23.07.2020 8C 451/2020 (8C_451/2020) Tribunal fédéral IIIe Cour de droit public (Ire Cour de droit social) 23.07.2020 8C 451/2020 (8C_451/2020) Tribunale federale III Corte di diritto pubblico (I Corte di diritto sociale) 23.07.2020 8C 451/2020 (8C_451/2020)</w:t>
      </w:r>
    </w:p>
    <w:p>
      <w:r>
        <w:t>Unfallversicherung (Prozessvoraussetzung) | Unfallversicherung</w:t>
      </w:r>
    </w:p>
    <w:p>
      <w:r>
        <w:t>Bundesgericht Tribunal fédéral Tribunale federale Tribunal federal 8C_451/2020 Urteil vom 23. Juli 2020 I. sozialrechtliche Abteilung Besetzung Bundesrichter Maillard, Präsident, Gerichtsschreiber Grünvogel. Verfahrensbeteiligte A.________, vertreten durch Rechtsanwältin Evalotta Samuelsson, Beschwerdeführer, gegen Schweizerische Unfallversicherungsanstalt (Suva), Fluhmattstrasse 1, 6004 Luzern, Beschwerdegegnerin. Gegenstand Unfallversicherung (Prozessvoraussetzung), Beschwerde gegen den Entscheid des Sozialversicherungsgerichts des Kantons Zürich vom 19. Mai 2020 (UV.2019.00029 UV.2019.00151). Nach Einsicht in die Beschwerde vom 13. Juli 2020 gegen den Rückweisungsentscheid des Sozialversicherungsgerichts des Kantons Zürich vom 19. Mai 2020, in Erwägung, dass es sich beim angefochtenen vorinstanzlichen Rückweisungsentscheid vom 19. Mai 2020 um einen Zwischenentscheid im Sinne von Art. 93 BGG handelt ( BGE 133 V 477 E. 4.2 und 4.3 S. 481 f.; 133 V 645 E. 2.1 S. 647), der nur unter den Voraussetzungen von Art. 93 Abs. 1 BGG selbstständig angefochten werden kann ( BGE 133 V 477 E. 4.2 S. 481),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137 III 522 E. 1.3 S. 525 mit Hinweisen), dass ein solcher Nachteil bei der Beschwerde führenden Person ausgewiesen sein muss, dass solches hier nicht gegeben ist (vgl. BGE 133 V 477 E. 5.2.3 f. S. 484 f.), weil der Versicherte nach den von der Beschwerdegegnerin vorzunehmenden Abklärungen bzw. Berechnungen und der gestützt hierauf zu erlassenden neuen Verfügung Beschwerde gegen den Endentscheid wird erheben können ( Art. 93 Abs. 3 BGG ), ohne dass der angefochtene Entscheid im bundesgerichtlichen Verfahren präjudizierende Wirkung entfaltet, dass ebenso wenig ein Eintreten auf die Beschwerde gestützt auf Art. 93 Abs. 1 lit. b BGG angezeigt ist, dass nämlich, selbst wenn mit einer Gutheissung der Beschwerde direkt ein sofortiger Endentscheid herbeigeführt werden könnte und damit die im Rückweisungsentscheid angeordneten ergänzenden Sachverhaltsabklärungen bzw. Berechnungen obsolet würden, damit praxisgemäss kein bedeutender Aufwand an Zeit oder Kosten für ein weitläufiges Beweisverfahren im Sinne dieser Bestimmung erspart würde (statt vieler: BGE 133 V 477 E. 5.2.2 S. 483 oder SVR 2011 IV Nr. 57 [Urteil 8C_958/2010 vom 25. Februar 2011] E. 3.3.2.2), dass abgesehen davon solches auch nicht behauptet wird (zur diesbezüglichen Begründungspflicht: BGE 138 III 46 E. 1.2 S. 47; 137 III 324 E. 1.1 S. 328 f.; je mit Hinweisen), dass sich demzufolge die Beschwerde gegen den Zwischenentscheid insgesamt als offensichtlich unzulässig erweist, weshalb sie im vereinfachten Verfahren nach Art. 108 Abs. 1 lit. a und b BGG erledigt wird, dass der Beschwerdeführer nach Art. 66 Abs. 1 BGG kostenpflichtig wird, erkennt der Präsident: 1. Auf die Beschwerde wird nicht eingetreten. 2. Die Gerichtskosten von Fr. 300.- werden dem Beschwerdeführer auferlegt. 3. Dieses Urteil wird den Parteien, dem Sozialversicherungsgericht des Kantons Zürich und dem Bundesamt für Gesundheit schriftlich mitgeteilt. Luzern, 23. Juli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