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8C_44/2024 vom 7. März 2024</w:t>
      </w:r>
    </w:p>
    <w:p>
      <w:r>
        <w:t>Bundesgericht, 2024-03-07, FR</w:t>
      </w:r>
    </w:p>
    <w:p>
      <w:r>
        <w:rPr>
          <w:b/>
        </w:rPr>
        <w:t xml:space="preserve">Quelle: </w:t>
      </w:r>
      <w:r>
        <w:t>https://mcp.opencaselaw.ch/entscheid/bger_8C_44_2024</w:t>
      </w:r>
    </w:p>
    <w:p>
      <w:r>
        <w:t>FR: TF 8C_44/2024 du 7 mars 2024</w:t>
      </w:r>
    </w:p>
    <w:p>
      <w:r>
        <w:t>IT: TF 8C_44/2024 del 7 marzo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son arrêt du 15 décembre 2023, la cour cantonale a retenu que le recourant avait d'emblée manifesté son désintérêt pour la proposition d'emploi temporaire auprès de B.________ et que rien n'indiquait que cet employeur n'était pas sérieux. Lorsqu'il s'était ensuite présenté à l'entreprise, le recourant n'avait pas démontré sa volonté d'accepter le poste, se renseignant avec insistance sur un potentiel poste fixe. Il s'était par ailleurs montré irrespectueux, en prenant des photos de collaborateurs sans leur consentement et en refusant de supprimer les clichés. L'intimée avait ainsi confirmé à juste titre la suspension du droit à l'indemnité de chômage du recourant pour refus d'emploi convenable, en application de l' art. 30 al. 1 let . d LACI (RS 837.0). La durée de la suspension, par 31 jours, était en outre justifiée au regard des dispositions pertinentes de la LACI et de l'OACI (RS 837.02).</w:t>
      </w:r>
    </w:p>
    <w:p>
      <w:r>
        <w:rPr>
          <w:b/>
        </w:rPr>
        <w:t>E. 2.2</w:t>
      </w:r>
    </w:p>
    <w:p>
      <w:r>
        <w:t>Dans ses écritures, le recourant se limite à rediscuter certains faits, en se plaignant du caractère douteux de l'emploi proposé, du manque de sérieux de l'agence intérimaire concernée et de la difficulté à obtenir des renseignements auprès d'elle. Le recours ne contient toutefois ni conclusion ni critique à l'encontre de la motivation de la juridiction cantonale. A cet égard, le recourant n'expose pas, même brièvement, en quoi l'acte attaqué violerait le droit. Le recours ne répond ainsi manifestement pas aux exigences de l' art. 42 al. 1 et 2 LTF . On précisera que l'écriture du 2 février 2024 est de toute manière tardive. L'arrêt attaqué a en effet été notifié au recourant le 20 décembre 2023, si bien que le délai de recours a expiré le 1</w:t>
      </w:r>
    </w:p>
    <w:p>
      <w:r>
        <w:t>er février 2024 (cf. art. 44 al. 1, 46 al. 1 let. c, 48 al. 1 et 100 al. 1 LTF).</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