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8C_44/2015 vom 19. Mai 2015</w:t>
      </w:r>
    </w:p>
    <w:p>
      <w:r>
        <w:t>Bundesgericht, 2015-05-19, DE</w:t>
      </w:r>
    </w:p>
    <w:p>
      <w:r>
        <w:rPr>
          <w:b/>
        </w:rPr>
        <w:t xml:space="preserve">Quelle: </w:t>
      </w:r>
      <w:r>
        <w:t>https://mcp.opencaselaw.ch/entscheid/bger_8C_44_2015</w:t>
      </w:r>
    </w:p>
    <w:p>
      <w:r>
        <w:t>FR: TF 8C_44/2015 du 19 mai 2015</w:t>
      </w:r>
    </w:p>
    <w:p>
      <w:r>
        <w:t>IT: TF 8C_44/2015 del 19 maggio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die Leistungsvoraussetzungen des natürlichen ( BGE 129 V 177 E. 3.1 S. 181 mit Hinweisen) und des adäquaten Kausalzusammenhangs ( BGE 129 V 177 E. 3.2 S. 181 mit Hinweis), namentlich bei Schreckereignissen ( BGE 129 V 177 E. 4 S. 183; Alexandra Rumo-Jungo/André Pierre Holzer, Bundesgesetz über die Unfallversicherung, 4. Aufl. 2012, S. 77 f.), zutreffend dargelegt. Dasselbe gilt für den Begriff des Unfalles ( Art. 4 ATSG ) und die Anforderungen an einen ärztlichen Bericht ( BGE 134 V 231 E. 5.1 S. 232; 125 V 351 E. 3a S. 352). Darauf wird verwiesen.</w:t>
      </w:r>
    </w:p>
    <w:p>
      <w:r>
        <w:rPr>
          <w:b/>
        </w:rPr>
        <w:t>E. 3</w:t>
      </w:r>
    </w:p>
    <w:p>
      <w:r>
        <w:t>Vorweg ist festzuhalten, dass die Vorinstanz - entgegen den Ausführungen des Versicherten - das Gutachten der Klinik für Psychiatrie und Psychotherapie, Spital D.________, vom 29. April 2014 nicht nur zur Kenntnis genommen, sondern sich in ihren Erwägungen auch darauf abgestützt hat (vgl. namentlich E. 3.4).</w:t>
      </w:r>
    </w:p>
    <w:p>
      <w:r>
        <w:t>Soweit der Versicherte geltend macht, der Überfall sei dramatischer gewesen als die Vorinstanz angenommen habe, kann ihm nicht gefolgt werden. Denn sowohl die SUVA wie auch die Vorinstanz haben bezüglich des Tathergangs auf den vom Versicherten gegenüber der Polizei sowie den medizinischen Gutachtern geschilderten Ablauf abgestellt (vgl. dazu den Polizeirapport vom 8. Januar 2009 sowie das Gutachten des medizinischen Abklärungszentrums E.________ vom 27. September 2011). Es ist nicht zu beanstanden, dass die Vorinstanz mit der SUVA angesichts der medizinischen Unterlagen von keinen auf den Unfall zurückzuführenden massgeblichen somatischen Beschwerden ausging (vgl. etwa das Gutachten des Spitals D.________ vom 29. April 2014, das Gutachten des medizinischen Abklärungszentrums E.________ vom 27. September 2011, die Berichte des medizinischen Zentrums F.________ vom 11. März und 7. Juli 2009 sowie die Berichte des Dr. med. C.________ vom 24. Dezember 2008 und 5. März 2009). Weiter ist der Einwand des unvollständig abgeklärten Sachverhaltes nicht stichhaltig, da der Versicherte im Rahmen des Gutachtens des medizinischen Abklärungszentrums E.________ vom 27. September 2011 sowohl psychiatrisch wie auch internistisch begutachtet wurde und sich in den medizinischen Akten keinerlei Anhaltspunkte finden, wonach weitere Abklärungen bezüglich der unfallrelevanten Leiden notwendig wären. Entgegen der Auffassung des Versicherten gehen weder Vorinstanz noch SUVA von der Heilung seiner psychischen Beschwerden aus. Für die Ausrichtung von Versicherungsleistungen ist jedoch notwendig, dass die geklagten Leiden sowohl in einem natürlichen wie auch adäquaten Kausalzusammenhang mit dem Unfallereignis stehen. Vorliegend verneinen SUVA und Vorinstanz den adäquaten Kausalzusammenhang der noch bestehenden psychischen Leiden, was infolge Wegfalls dieser Leistungsvoraussetzung die Leistungseinstellung nach sich zieht. Vor allem aber verkennt der Versicherte, dass es sich bei der Frage des adäquaten Kausalzusammenhangs um eine Rechtsfrage handelt, die alleine von der Verwaltung resp. im Beschwerdefall vom Gericht zu beurteilen ist ( BGE 134 V 109 E. 6.2.1 S. 117). Schliesslich ist auch die Verneinung der Adäquanz gestützt auf die von der Vorinstanz resp. von der SUVA zitierten Urteile ( BGE 129 V 177 E. 4.3 S. 185; Urteile 8C_522/2007 vom 1. September 2008, U 593/06 vom 14. April 2008, U 2/05 vom 4. August 2005 und U 390/04 vom 14. April 2005) nicht zu beanstanden, da es sich dabei um Ereignisse mit vergleichbaren Abläufen bezüglich Gewaltausübung, Bedrohungslage und zugezogenen Verletzungen handelt.</w:t>
      </w:r>
    </w:p>
    <w:p>
      <w:r>
        <w:t>Bei diesem Ergebnis kann mit der Vorinstanz die Frage des natürlichen Kausalzusammenhangs offen bleiben. Die Beschwerde ist abzuweisen.</w:t>
      </w:r>
    </w:p>
    <w:p>
      <w:r>
        <w:rPr>
          <w:b/>
        </w:rPr>
        <w:t>E. 4</w:t>
      </w:r>
    </w:p>
    <w:p>
      <w:r>
        <w:t>Das Verfahren ist kostenpflichtig. 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