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8C_449/2015 vom 6. April 2016</w:t>
      </w:r>
    </w:p>
    <w:p>
      <w:r>
        <w:t>Bundesgericht, 2016-04-06, FR</w:t>
      </w:r>
    </w:p>
    <w:p>
      <w:r>
        <w:rPr>
          <w:b/>
        </w:rPr>
        <w:t xml:space="preserve">Quelle: </w:t>
      </w:r>
      <w:r>
        <w:t>https://mcp.opencaselaw.ch/entscheid/bger_8C_449_2015</w:t>
      </w:r>
    </w:p>
    <w:p>
      <w:r>
        <w:t>FR: TF 8C_449/2015 du 6 avril 2016</w:t>
      </w:r>
    </w:p>
    <w:p>
      <w:r>
        <w:t>IT: TF 8C_449/2015 del 6 aprile 2016</w:t>
      </w:r>
    </w:p>
    <w:p>
      <w:pPr>
        <w:pStyle w:val="Heading2"/>
      </w:pPr>
      <w:r>
        <w:t>Erwägungen</w:t>
      </w:r>
    </w:p>
    <w:p>
      <w:r>
        <w:rPr>
          <w:b/>
        </w:rPr>
        <w:t>E. 1.1</w:t>
      </w:r>
    </w:p>
    <w:p>
      <w:r>
        <w:t>L'intimé conclut principalement à l'irrecevabilité du recours. Il fait valoir que la recourante a uniquement pris une conclusion cassatoire, bien qu'elle ait utilisé le terme " réformer ".</w:t>
      </w:r>
    </w:p>
    <w:p>
      <w:r>
        <w:rPr>
          <w:b/>
        </w:rPr>
        <w:t>E. 1.2</w:t>
      </w:r>
    </w:p>
    <w:p>
      <w:r>
        <w:t>Puisque le Tribunal fédéral a un pouvoir général de réforme ( art. 107 al. 2 LTF ), le recours en matière de droit public doit en principe contenir des conclusions réformatoires. Des conclusions cassatoires sont néanmoins admises, à condition toutefois que les revendications de la partie recourante ressortent clairement des motifs (cf. ATF 137 II 313 consid. 1.3 p. 317; 134 III 379 consid. 1.3 p. 383; 134 V 208 consid. 1 p. 210).</w:t>
      </w:r>
    </w:p>
    <w:p>
      <w:r>
        <w:rPr>
          <w:b/>
        </w:rPr>
        <w:t>E. 1.3</w:t>
      </w:r>
    </w:p>
    <w:p>
      <w:r>
        <w:t>En l'espèce, on comprend, à la lecture des motifs du recours, que la recourante demande non seulement l'annulation du jugement cantonal, mais également une instruction complémentaire pour la fixation du taux d'invalidité. Par conséquent, la conclusion prise par la recourante, interprétée à la lumière des motifs du recours (cf. arrêt 2C_700/2015 consid. 1.3), ne s'oppose pas à l'entrée en matière.</w:t>
      </w:r>
    </w:p>
    <w:p>
      <w:r>
        <w:rPr>
          <w:b/>
        </w:rPr>
        <w:t>E. 1.4</w:t>
      </w:r>
    </w:p>
    <w:p>
      <w:r>
        <w:t>Pour le surplus,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porte sur le taux de la rente d'invalidité de l'assurance-accidents à laquelle a droit l'intimé depuis le 1</w:t>
      </w:r>
    </w:p>
    <w:p>
      <w:r>
        <w:t>er avril 2013, singulièrement sur le montant du revenu sans invalidité déterminant pour la comparaison des revenus selon l' art. 16 LPGA (RS 830.1), qui est seul contesté par la recourante. En effet, le revenu d'invalide de 36'620 fr. 45 retenu par les premiers juges, lequel tient compte d'un abattement de 20 % (et non pas seulement de 10 % comme l'avait fixé la CNA) et d'un taux d'incapacité de travail de 27 %, n'est pas contesté par cette dernière.</w:t>
      </w:r>
    </w:p>
    <w:p>
      <w:r>
        <w:rPr>
          <w:b/>
        </w:rPr>
        <w:t>E. 2.2</w:t>
      </w:r>
    </w:p>
    <w:p>
      <w:r>
        <w:t>La procédure portant sur l'octroi ou le refus de prestations en espèces de l'assurance-accidents, le Tribunal fédéral n'est pas lié par les faits établis par la juridiction précédente ( art. 105 al. 3 LTF ).</w:t>
      </w:r>
    </w:p>
    <w:p>
      <w:r>
        <w:rPr>
          <w:b/>
        </w:rPr>
        <w:t>E. 3</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 ATF 129 V 222 consid. 4.3.1 p. 224 et la référence). Le salaire réalisé en dernier lieu par l'assuré comprend tous les revenus d'une activité lucrative (y compris les gains accessoires, la rémunération des heures supplémentaires effectuées de manière régulière) soumis aux cotisations AVS (cf. UELI KIESER, ATSG-Kommentar, 3ème édition 2015, n° 28 ad art. 16 LPGA et les références citées; le même in: Schweizerisches Bundesverwaltungsrecht [SBVR], Sécurité sociale, 3ème édition 2016, n. 45 p. 292).</w:t>
      </w:r>
    </w:p>
    <w:p>
      <w:r>
        <w:rPr>
          <w:b/>
        </w:rPr>
        <w:t>E. 4</w:t>
      </w:r>
    </w:p>
    <w:p>
      <w:r>
        <w:t>Dans sa décision sur opposition du 12 février 2014, la CNA a fixé le revenu sans invalidité en se fondant sur les renseignements fournis par la société B.________ SA en date du 3 septembre 2013, dont il ressort que si l'intimé n'avait pas été victime d'un accident et qu'il était resté au service de cette société, son salaire aurait été de 67'028 fr. (5'156 fr. x 13) en 2013.</w:t>
      </w:r>
    </w:p>
    <w:p>
      <w:r>
        <w:t>Pour leur part, les premiers juges ont retenu, au titre du revenu sans invalidité, un montant de 73'920 fr. 95, qu'ils ont indexé jusqu'en 2013 (soit 75'784 fr. 20), lequel correspondait aux indications données par l'employeur le 29 octobre 2012 en réponse à la question de la CNA concernant le gain annuel de l'intimé pour le calcul de sa rente d'invalidité. Ils ont comparé ce montant à un revenu d'invalide de 36'620 fr. 45, ce qui donnait un taux d'invalidité de 51,6 %, arrondi à 52 %.</w:t>
      </w:r>
    </w:p>
    <w:p>
      <w:r>
        <w:rPr>
          <w:b/>
        </w:rPr>
        <w:t>E. 5.1</w:t>
      </w:r>
    </w:p>
    <w:p>
      <w:r>
        <w:t>La recourante fait valoir que le gain réalisé par l'intimé durant la période du 6 août 2009 au 5 août 2010, tel qu'annoncé par l'employeur le 29 octobre 2012, comprend deux paiements nets relatifs à des vacances non prises en nature pour un montant total de 8'005 fr. 45, ainsi que l'indemnisation d'heures supplémentaires pour un total de 3'341 fr. Or, selon la recourante, aucun élément au dossier ne permet d'affirmer que pour la période considérée, l'intimé a renoncé à son droit aux vacances pour en obtenir la compensation en espèces. Par ailleurs, il n'est pas non plus établi, au degré de la vraisemblance prépondérante, que l'intimé a, depuis son engagement, régulièrement fourni des heures supplémentaires devant être prises en compte dans le gain sans invalidité déterminant pour la comparaison des revenus.</w:t>
      </w:r>
    </w:p>
    <w:p>
      <w:r>
        <w:rPr>
          <w:b/>
        </w:rPr>
        <w:t>E. 5.2</w:t>
      </w:r>
    </w:p>
    <w:p>
      <w:r>
        <w:t>Pour sa part, l'intimé fait valoir que les heures supplémentaires étaient effectuées de manière régulière avant son accident, à un rythme d'environ dix heures par mois afin de compléter son salaire. Quant au montant de 8'005 fr. 45, il ne s'agissait pas d'une indemnisation pour vacances non prises, comme l'affirmait à tort la recourante, mais constituait une part de salaire versée deux fois l'an à tous les employés de B.________ SA. Par conséquent, ce montant devait être pris en compte au titre du revenu sans invalidité.</w:t>
      </w:r>
    </w:p>
    <w:p>
      <w:r>
        <w:rPr>
          <w:b/>
        </w:rPr>
        <w:t>E. 6</w:t>
      </w:r>
    </w:p>
    <w:p>
      <w:r>
        <w:t>En l'occurrence, les premiers juges se sont écartés du revenu sans invalidité fixé à 67'028 fr. par la CNA, lequel reflétait le montant du salaire que l'intimé aurait perçu en 2013 selon les déclarations de son employeur. A la place, ils sont partis d'un revenu de 73'920 fr. 95 - lequel représentait la totalité des gains perçus par l'intimé entre le 1</w:t>
      </w:r>
    </w:p>
    <w:p>
      <w:r>
        <w:t>er août 2009 et le 31 juillet 2010 -, ce qui donnait, après indexation jusqu'en 2013, un montant de 75'784 fr. 20. Ce revenu comprenait la rémunération des heures supplémentaires effectuées durant l'année ayant précédé l'accident, pour un montant de 3'341 fr., ainsi que le montant de 8'005 fr. 45. Les premiers juges ne se prononcent cependant pas sur le caractère régulier ou aléatoire de ces heures supplémentaires effectuées par l'intimé. Quant au paiement, en deux fois, d'un montant de 8'005 fr. 45, on ignore de quel type de rémunération il s'agit précisément. Le Tribunal fédéral ne dispose pas d'éléments suffisants pour trancher ce qu'il en est en réalité des deux postes en question. Dans ces circonstances, il convient d'annuler le jugement attaqué et de renvoyer la cause à la juridiction cantonale (cf. art. 107 al. 1 LTF ) pour qu'elle complète l'instruction et rende une nouvelle décision.</w:t>
      </w:r>
    </w:p>
    <w:p>
      <w:r>
        <w:rPr>
          <w:b/>
        </w:rPr>
        <w:t>E. 7</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