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8C_449/2007 vom 26. Februar 2008</w:t>
      </w:r>
    </w:p>
    <w:p>
      <w:r>
        <w:t>Bundesgericht, 2008-02-26, DE</w:t>
      </w:r>
    </w:p>
    <w:p>
      <w:r>
        <w:rPr>
          <w:b/>
        </w:rPr>
        <w:t xml:space="preserve">Quelle: </w:t>
      </w:r>
      <w:r>
        <w:t>https://mcp.opencaselaw.ch/entscheid/bger_8C_449_2007</w:t>
      </w:r>
    </w:p>
    <w:p>
      <w:r>
        <w:t>FR: TF 8C_449/2007 du 26 février 2008</w:t>
      </w:r>
    </w:p>
    <w:p>
      <w:r>
        <w:t>IT: TF 8C_449/2007 del 26 febbraio 2008</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t>Vorliegend sind keine Geldleistungen der Unfallversicherung streitig, weshalb die Ausnahmeregelung von Art. 97 Abs. 2 und 105 Abs. 3 BGG nicht anwendbar ist.</w:t>
      </w:r>
    </w:p>
    <w:p>
      <w:r>
        <w:rPr>
          <w:b/>
        </w:rPr>
        <w:t>E. 2</w:t>
      </w:r>
    </w:p>
    <w:p>
      <w:r>
        <w:t>Die Vorinstanz hat die Bestimmungen und Grundsätze über die obligatorische Versicherung von Arbeitnehmern ( Art. 1 Abs. 1 UVG in der bis 31. Dezember 2002 in Kraft gestandenen Fassung; Art. 1a Abs. 1 UVG in der ab 1. Januar 2003 geltenden Fassung) und die Abgrenzung von selbstständiger und unselbstständiger Erwerbstätigkeit ( Art. 1 UVV in Verbindung mit Art. 5 Abs. 2 und Art. 9 Abs. 1 AHVG ; BGE 133 V 153 E. 3.1 S. 156, 123 V 161 E. 1 S. 162, 122 V 169 E. 3 S. 171, je mit Hinweisen) zutreffend dargelegt. Darauf wird verwiesen.</w:t>
      </w:r>
    </w:p>
    <w:p>
      <w:r>
        <w:rPr>
          <w:b/>
        </w:rPr>
        <w:t>E. 3</w:t>
      </w:r>
    </w:p>
    <w:p>
      <w:r>
        <w:t>Streitig ist, ob die Entgelte, die W.________ und R.________ von der Beschwerdeführerin erhielten, als Einkommen aus selbstständiger oder unselbstständiger Tätigkeit zu qualifizieren sind.</w:t>
      </w:r>
    </w:p>
    <w:p>
      <w:r>
        <w:rPr>
          <w:b/>
        </w:rPr>
        <w:t>E. 4.1</w:t>
      </w:r>
    </w:p>
    <w:p>
      <w:r>
        <w:t>Die Vorinstanz hat in verbindlicher Weise festgestellt, dass W.________ in den Jahren 2001 bis 2004 als Verwaltungsrat sowie Geschäftsführer gearbeitet und dafür ein Entgelt zuzüglich Spesenentschädigung und Geschäftsfahrzeug (abzüglich jener Beträge, auf welche er verzichtet hat) bezogen hat. Ebenfalls erstellt ist, dass W.________ Aktionär der Beschwerdeführerin ist, in X.________ eine Einzelfirma (die C.________) betreibt und Arbeiten für die Beschwerdeführerin in den Büroräumlichkeiten und mit der Infrastruktur in X.________ ausgeführt hat sowie dass er keine weiteren Investitionen im Rahmen seiner Tätigkeit für die Beschwerdeführerin getätigt und insbesondere kein Personal beschäftigt hat.</w:t>
      </w:r>
    </w:p>
    <w:p>
      <w:r>
        <w:rPr>
          <w:b/>
        </w:rPr>
        <w:t>E. 4.2</w:t>
      </w:r>
    </w:p>
    <w:p>
      <w:r>
        <w:t>Die Entgelte, die W.________ für seine Tätigkeit als Verwaltungsrat erhielt, stellen nach ständiger Rechtsprechung (vgl. zuletzt BGE 133 V 498 E. 3.1.2 S. 500 mit Hinweisen) sowie gestützt auf Art. 7 lit. h AHVV massgebenden Lohn dar. Bezüglich des ihm zugeflossenen Einkommens für seine übrige Tätigkeit zu Gunsten der Beschwerdeführerin ist festzuhalten, dass er nicht nur beratend, sondern als Geschäftsführer und damit operativ wirkte. Demnach arbeitete er nicht bloss projektbezogen für die Beschwerdeführerin; vielmehr übernahm er Führungsverantwortung. Die Einkünfte eines Beraters, der die Eigenschaft eines geschäftsführenden Organs übernimmt, stellen aber massgebenden Lohn dar (vgl. Urteile H 7/03 vom 30. April 2004, E. 4.3 und H 55/04 vom 5. November 2004, E. 4.1, je mit Hinweisen). Etwas anderes würde nur gelten, wenn W.________ bloss vorübergehend eingesetzt worden wäre. Dem ist angesichts der jahrelangen Tätigkeit nicht so, zumal er nicht im Rahmen einer Restrukturierung oder Krisenbewältigung kurzfristig als externer Dritter beigezogen worden war, sondern über Jahre hinweg bei der Beschwerdeführerin und ihren Vorgängerinnen mitgewirkt hatte. Soweit er geltend macht, er habe die Tätigkeiten in seinem Büro in X.________ mit der dort vorhandenen Infrastruktur ausgeführt, kann er nicht gehört werden. Denn wie die Vorinstanz zu Recht bemerkt, genügt dies unter den gegebenen Umständen nicht, um seine Arbeiten als selbstständige Erwerbstätigkeit zu qualifizieren, zumal nach der Rechtsprechung bei einem Wechsel von unselbstständiger zu selbstständiger Erwerbstätigkeit bei weiterbestehender Tätigkeit für die ehemalige Arbeitgeberin erhöhte Anforderungen an den Statuswechsel zu stellen sind (vgl. Urteil H 396/00 vom 20. Januar 2003, E. 3 mit Hinweisen). Ebenfalls unbehelflich ist der Einwand, es liege kein Arbeitsvertrag vor. Denn massgebend für die Abgrenzung von selbstständiger und unselbstständiger Erwerbstätigkeit ist nicht die Rechtsnatur des Vertragsverhältnisses; entscheidend sind vielmehr die tatsächlichen wirtschaftlichen Gegebenheiten ( BGE 123 V 161 E. 1 S. 163 mit Hinweisen). Auch vermag er aus dem Umstand, dass er auf Entgelte verzichtet hat, nichts zu seinen Gunsten abzuleiten. Es ist nicht unüblich, dass Arbeitnehmer auf einen Teil ihrer Lohnansprüche verzichten, wenn dadurch das Unternehmen gerettet und ihr Arbeitsplatz gesichert wird. Schliesslich spielt es auch keine Rolle, dass W.________ von der Ausgleichskasse des Kantons Solothurn als Selbstständigerwerbender erfasst wurde, da bei jedem Einkommensteil separat geprüft wird, ob es sich dabei um Einkommen aus selbstständiger oder unselbstständiger Tätigkeit handelt ( BGE 123 V 161 E. 4a S. 167 mit Hinweis). Analoges gilt für die geltend gemachte Unterstellung unter die Mehrwertsteuer.</w:t>
      </w:r>
    </w:p>
    <w:p>
      <w:r>
        <w:rPr>
          <w:b/>
        </w:rPr>
        <w:t>E. 5.1</w:t>
      </w:r>
    </w:p>
    <w:p>
      <w:r>
        <w:t>Die Vorinstanz hat in verbindlicher Weise festgestellt, dass R.________ in den Jahren 2001 bis 2004 für die Beschwerdeführerin Sekretariatsarbeiten sowie die Buchhaltung erledigt hat, wofür sie die Infrastruktur und die Büroräumlichkeiten in X.________ benutzte. Ebenfalls erstellt ist, dass sie weder Investitionen zur Erledigung dieser Arbeiten getätigt noch hiefür Personal angestellt hat.</w:t>
      </w:r>
    </w:p>
    <w:p>
      <w:r>
        <w:rPr>
          <w:b/>
        </w:rPr>
        <w:t>E. 5.2</w:t>
      </w:r>
    </w:p>
    <w:p>
      <w:r>
        <w:t>Die Entschädigung an eine Einzelfirma für die Erledigung von Verwaltungsarbeiten stellt gemäss Rechtsprechung massgebenden Lohn dar (ZAK 1982 S. 369 E. 2b). Somit ist das Einkommen, welches R.________ für die Ausführung von Sekretariatsarbeiten, einschliesslich der Protokollführung anlässlich der Verwaltungsratssitzungen, erhielt, als Einkommen aus unselbstständiger Erwerbstätigkeit zu qualifizieren. Dasselbe gilt auch für die Führung der Buchhaltung der Beschwerdeführerin. Weil die von ihr erledigten Arbeiten im Wesentlichen Verwaltungs- und Sekretariatsarbeiten umfassen und keine wesentlichen Investitionen vorliegen, haben Vorinstanz und Verwaltung ihre Tätigkeit für die Beschwerdeführerin zu Recht als unselbstständig qualifiziert.</w:t>
      </w:r>
    </w:p>
    <w:p>
      <w:r>
        <w:rPr>
          <w:b/>
        </w:rPr>
        <w:t>E. 6</w:t>
      </w:r>
    </w:p>
    <w:p>
      <w:r>
        <w:t>Dem Ausgang des Verfahrens entsprechend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