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8C_448/2015 vom 17. Dezember 2015</w:t>
      </w:r>
    </w:p>
    <w:p>
      <w:r>
        <w:t>Bundesgericht, 2015-12-17, DE</w:t>
      </w:r>
    </w:p>
    <w:p>
      <w:r>
        <w:rPr>
          <w:b/>
        </w:rPr>
        <w:t xml:space="preserve">Quelle: </w:t>
      </w:r>
      <w:r>
        <w:t>https://mcp.opencaselaw.ch/entscheid/bger_8C_448_2015</w:t>
      </w:r>
    </w:p>
    <w:p>
      <w:r>
        <w:t>FR: TF 8C_448/2015 du 17 décembre 2015</w:t>
      </w:r>
    </w:p>
    <w:p>
      <w:r>
        <w:t>IT: TF 8C_448/2015 del 17 dicembre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Gutachten des Dr. med. C.________ vom 2. Dezember 2013 ausreichende Grundlage zur Leistungseinstellung per 21. April 2013 ist.</w:t>
      </w:r>
    </w:p>
    <w:p>
      <w:r>
        <w:rPr>
          <w:b/>
        </w:rPr>
        <w:t>E. 3</w:t>
      </w:r>
    </w:p>
    <w:p>
      <w:r>
        <w:t>Die Vorinstanz hat die Bestimmungen und Grundsätze über die Leistungsvoraussetzungen des natürlichen Kausalzusammenhangs ( BGE 129 V 177 E. 3.1 S. 181 mit Hinweis) sowie das Ende des Leistungsanspruchs infolge Dahinfallens der Kausalität, deren Nachweis der Unfallversicherer zu erbringen hat (SVR 2009 UV Nr. 3 S. 9 E. 2.2, 8C_354/2007), zutreffend dargelegt. Dasselbe gilt für die Anforderungen an einen ärztlichen Bericht ( BGE 134 V 231 E. 5.1 S. 232; 125 V 351 E. 3a S. 352), die Einholung eines versicherungsexternen Gutachtens ( Art. 44 ATSG ; BGE 135 V 465 E. 4 S. 467) sowie die Anforderungen an die Unparteilichkeit eines Gutachters ( BGE 132 V 93 E. 7.1 S. 109). Darauf wird verwiesen.</w:t>
      </w:r>
    </w:p>
    <w:p>
      <w:r>
        <w:rPr>
          <w:b/>
        </w:rPr>
        <w:t>E. 4.1</w:t>
      </w:r>
    </w:p>
    <w:p>
      <w:r>
        <w:t>Die fachliche Qualifikation von Dr. med. C.________ zur Erstattung des Gutachtens vom 2. Dezember 2013 ist unbestritten. Hingegen macht die Versicherte geltend, durch die Kennzeichnung verschiedener Passagen des Gutachtens durch Fettdruck, Kursivschrift und Unterstreichung werde bereits im Rahmen der Wiedergabe der vorliegenden Akten eine Wertung vorgenommen, an welcher sich die Befangenheit des Gutachters zeige. Es kann jedoch nicht Sache des Gerichts sein, Vorgaben bezüglich der Verwendung von grafischen Gestaltungsmitteln in einem Gutachten zu machen. Jedenfalls ergibt sich vorliegend keine Befangenheit des Dr. med. C.________, auch wenn die gewählte grafische Gestaltung der Leserlichkeit und Nachvollziehbarkeit eher hinderlich ist. So ist das Gutachten nicht klar gegliedert, indem bereits bei der Zusammenfassung der bisherigen Akten sowie der Wiedergabe der Angaben der versicherten Person kommentiert wird und daher nicht immer ganz klar ist, was Grundlage des Gutachtens und was Bewertung durch den Gutachter ist.</w:t>
      </w:r>
    </w:p>
    <w:p>
      <w:r>
        <w:rPr>
          <w:b/>
        </w:rPr>
        <w:t>E. 4.2</w:t>
      </w:r>
    </w:p>
    <w:p>
      <w:r>
        <w:t>Soweit die Versicherte rügt, Dr. med. C.________ nehme in seinem Gutachten unzulässige juristische Ausführungen vor, ist ihr Einwand zutreffend. Die Vornahme der juristischen Beurteilung eines Falles ist nicht Sache des medizinischen Sachverständigen. Entgegen der Ansicht der Vorinstanz vermögen entsprechende Ausführungen des medizinischen Gutachters den Beweiswert seiner Aussagen zu schmälern, sind sie doch Zeichen dafür, dass der zur Unparteilichkeit verpflichtete Sachverständige seine Kompetenzen überschreitet und den Anschein erweckt, er wisse nicht um die Grenzen seines Auftrags (vgl. zu juristischen Bewertungen im ärztlichen Berichten etwa Urteile 8C_671/2014 vom 19. März 2015 E. 4.2.3 und U 9/01 vom 20. November 2001 E. 2b sowie SVR 2009 UV Nr. 31 S. 109 E. 6.2, 8C_552/2008, je mit Hinweisen). Weiter hinterlässt das Gutachten objektiv den Eindruck, dass Dr. med. C.________ sich nicht nur in seiner Funktion als sachlicher und unabhängiger Gutachter äussert, sondern den Fall in seinem Sinne erledigt sehen will, nimmt er mit seinen Äusserungen im Gutachten doch gleich auch die juristische Beurteilung vorweg. So verfällt er denn auch in die Wortwahl eines Parteivertreters (z.B. S. 24: "Zusammengefasst wird meinerseits nach dem oben Gesagten vollumfänglich bestritten und belegt, dass der Unfall angeblich 'die einzige Ursache der Störung von Frau A.________ sein soll'." Hervorhebung im Original).</w:t>
      </w:r>
    </w:p>
    <w:p>
      <w:r>
        <w:rPr>
          <w:b/>
        </w:rPr>
        <w:t>E. 4.3</w:t>
      </w:r>
    </w:p>
    <w:p>
      <w:r>
        <w:t>Ebenfalls zutreffend ist der Hinweis, dass Dr. med. C.________ von falschen Tatsachen ausgehe. So äussert er sich explizit dahingehend, dass die Versicherte nach dem Unfall trotz laufender Arbeitsunfähigkeit in die Ferien gefahren sei, was nicht den Tatsachen entspricht, hält er doch selbst an anderer Stelle eine erstmalige Arbeitsunfähigkeit ab 23. März 2012 fest. Seine diesbezüglichen Bemerkungen sind zudem grenzwertig und tendenziös, jedenfalls aber unsachlich und unangebracht. Ebenfalls übersieht er, dass die nach Erhalt der Kündigung attestierte Arbeitsunfähigkeit nicht vollständig auf unfallkausale Faktoren zurückgeführt wurde, sondern zu 50 % als krankheitsbedingt galt (vgl. dazu etwa Aktennotiz der Swica zum Gespräch vom 11. April 2013). Auch zeigt sich die Oberflächlichkeit darin, dass Dr. med. C.________ in seinem Gutachten festhält, eine zweite Operation sei nicht aktenkundig, er sich aber in keiner Weise darum bemüht, die entsprechenden Unterlagen zu beschaffen. Das Arthro MRT vom 2. Mai 2013 sowie der operative Eingriff vom 9. Juli 2013 waren bekannt und in den Akten der Swica entsprechend dokumentiert; das Fehlen dieser Berichte darf sich nicht zu Lasten der Versicherten auswirken, da es grundsätzlich Sache des Versicherers und des Gutachters ist, (sich) die notwendigen Unterlagen für die medizinische Beurteilung zu beschaffen.</w:t>
      </w:r>
    </w:p>
    <w:p>
      <w:r>
        <w:rPr>
          <w:b/>
        </w:rPr>
        <w:t>E. 4.4</w:t>
      </w:r>
    </w:p>
    <w:p>
      <w:r>
        <w:t>Schliesslich fällt auf, dass der inhaltlich nicht bekannte Begleitbrief von Dr. med. C.________ zum Gutachten, mit welchem er wohl die Swica für die Fallführung kritisiert (vgl. dazu das Antwortschreiben der Swica vom 12. Dezember 2013), aus den Akten entfernt wurde.</w:t>
      </w:r>
    </w:p>
    <w:p>
      <w:r>
        <w:rPr>
          <w:b/>
        </w:rPr>
        <w:t>E. 5</w:t>
      </w:r>
    </w:p>
    <w:p>
      <w:r>
        <w:t>Nach dem Gesagten ist das Gutachten des Dr. med. C.________ infolge objektiv begründeter Befangenheit nicht geeignet für die Beurteilung des Leistungsanspruchs der Versicherten über den 21. April 2013 hinaus. Da jedoch Hinweise bestehen, dass auch unfallfremde Faktoren bei der Arbeitsunfähigkeit eine Rolle spielen könnten (vgl. dazu etwa die Umstände der Kündigung, die zu einer hälftigen krankheitsbedingten Arbeitsunfähigkeit führte), ist die Sache an die Vorinstanz zurückzuweisen, damit diese ein Gerichtsgutachten einhole und hernach über den Anspruch auf Leistungen nach dem 21. April 2013 neu entscheide.</w:t>
      </w:r>
    </w:p>
    <w:p>
      <w:r>
        <w:rPr>
          <w:b/>
        </w:rPr>
        <w:t>E. 6</w:t>
      </w:r>
    </w:p>
    <w:p>
      <w:r>
        <w:t>Das Verfahren ist kostenpflichtig. Dem Ausgang des Verfahrens entsprechend hat die Swica die Gerichtskosten zu tragen ( Art. 66 Abs. 1 BGG ). Die Versicherte hat Anspruch auf eine Parteientschädigung zu Lasten der Swica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