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8C_448/2013 vom 10. Juli 2013</w:t>
      </w:r>
    </w:p>
    <w:p>
      <w:r>
        <w:t>Bundesgericht, 2013-07-10, FR</w:t>
      </w:r>
    </w:p>
    <w:p>
      <w:r>
        <w:rPr>
          <w:b/>
        </w:rPr>
        <w:t xml:space="preserve">Quelle: </w:t>
      </w:r>
      <w:r>
        <w:t>https://mcp.opencaselaw.ch/entscheid/bger_8C_448_2013</w:t>
      </w:r>
    </w:p>
    <w:p>
      <w:r>
        <w:t>FR: TF 8C_448/2013 du 10 juillet 2013</w:t>
      </w:r>
    </w:p>
    <w:p>
      <w:r>
        <w:t>IT: TF 8C_448/2013 del 10 luglio 2013</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let. b LTF ). Il peut confier cette tâche à un autre juge ( art. 108 al. 2 LTF ).</w:t>
      </w:r>
    </w:p>
    <w:p>
      <w:r>
        <w:rPr>
          <w:b/>
        </w:rPr>
        <w:t>E. 2</w:t>
      </w:r>
    </w:p>
    <w:p>
      <w:r>
        <w:t>Le jugement attaqué repose sur la loi cantonale sur l'action sociale vaudoise du 2 décembre 2003 (LASV; RSV 850.051).</w:t>
      </w:r>
    </w:p>
    <w:p>
      <w:r>
        <w:rPr>
          <w:b/>
        </w:rPr>
        <w:t>E. 3</w:t>
      </w:r>
    </w:p>
    <w:p>
      <w:r>
        <w:t>Les premiers juges ont considéré que la recourante avait violé son obligation de renseigner à un double titre. D'une part, elle n'avait pas fourni au CSR une autorisation de renseigner munie de la signature correspondant à celle en possession de la banque (respectivement, elle n'avait pas informé sa banque du changement d'état civil et de signature intervenu à la suite de son divorce). D'autre part, elle avait indiqué, notamment, le 20 août 2012 que son ménage était composé de deux personnes, sans signaler qu'un changement de domicile de son fils avait été annoncé au Contrôle des habitants le 9 août 2012. Enfin, les premiers juges ont relevé qu'elle pouvait en tout temps déposer une nouvelle demande de revenu d'insertion en attestant de son indigence.</w:t>
      </w:r>
    </w:p>
    <w:p>
      <w:r>
        <w:rPr>
          <w:b/>
        </w:rPr>
        <w:t>E. 4</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w:t>
      </w:r>
    </w:p>
    <w:p>
      <w:r>
        <w:rPr>
          <w:b/>
        </w:rPr>
        <w:t>E. 5</w:t>
      </w:r>
    </w:p>
    <w:p>
      <w:r>
        <w:t>En l'espèce, il appartenait donc à la recourante non seulement d'invoquer l' art. 9 Cst. mais également de démontrer concrètement en quoi l'instance précédente aurait, le cas échéant, appliqué de manière arbitraire le droit cantonal, ce qu'elle n'a fait d'aucune manière nonobstant les considérations du Tribunal fédéral dans une précédente cause la concernant (arrêt 8C_51/2013 du 13 février 2013 consid. 4.2). Derechef, elle se borne, en effet, à présenter des faits qui devraient selon elle conduire à admettre son droit au revenu d'insertion. Une telle argumentation ne satisfait pas aux exigences de motivation accrues requises par l' art. 106 al. 2 LTF .</w:t>
      </w:r>
    </w:p>
    <w:p>
      <w:r>
        <w:rPr>
          <w:b/>
        </w:rPr>
        <w:t>E. 6</w:t>
      </w:r>
    </w:p>
    <w:p>
      <w:r>
        <w:t>Le recours est ainsi manifestement irrecevable ( art. 108 al. 1 let. b LTF ).</w:t>
      </w:r>
    </w:p>
    <w:p>
      <w:r>
        <w:rPr>
          <w:b/>
        </w:rPr>
        <w:t>E. 7</w:t>
      </w:r>
    </w:p>
    <w:p>
      <w:r>
        <w:t>La recourante supportera les frais de justice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