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8C_448/2009 vom 27. Juli 2009</w:t>
      </w:r>
    </w:p>
    <w:p>
      <w:r>
        <w:t>Bundesgericht, 2009-07-27, DE</w:t>
      </w:r>
    </w:p>
    <w:p>
      <w:r>
        <w:rPr>
          <w:b/>
        </w:rPr>
        <w:t xml:space="preserve">Quelle: </w:t>
      </w:r>
      <w:r>
        <w:t>https://mcp.opencaselaw.ch/entscheid/bger_8C_448_2009</w:t>
      </w:r>
    </w:p>
    <w:p>
      <w:r>
        <w:t>FR: TF 8C_448/2009 du 27 juillet 2009</w:t>
      </w:r>
    </w:p>
    <w:p>
      <w:r>
        <w:t>IT: TF 8C_448/2009 del 27 luglio 2009</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Der Beschwerdeführer beanstandet die vorinstanzliche Beweiswürdigung und stellt dabei namentlich die Beweistauglichkeit des von der IV-Stelle im Einspracheverfahren eingeholten polydisziplinären Gutachtens des Zentrums X.________ vom 1. Juni 2006 in Abrede. Die vorinstanzliche Würdigung medizinischer Berichte und Gutachten gehört zu der für das Bundesgericht grundsätzlich verbindlichen Sachverhaltsfeststellung, welche nach dem bereits Gesagten einer letztinstanzlichen Korrektur nur bei offensichtlicher Unrichtigkeit oder einer ihr zugrunde liegenden Rechtsverletzung zugänglich ist (E. 1 hievor).</w:t>
      </w:r>
    </w:p>
    <w:p>
      <w:r>
        <w:rPr>
          <w:b/>
        </w:rPr>
        <w:t>E. 2.2</w:t>
      </w:r>
    </w:p>
    <w:p>
      <w:r>
        <w:t>Mit Recht hat das kantonale Gericht die gegen das Zentrum X.________ als Gutachterstelle gerichteten Vorbringen unter Berufung auf BGE 123 V 175 als unbegründet betrachtet und festgehalten, dass dessen Expertise vom 1. Juni 2006 auch die rechtsprechungsgemäss an ein medizinisches Gutachten zu stellenden Anforderungen ( BGE 125 V 351 E. 3a S. 352) erfüllt. Die Vorinstanz hat weiter - wie von der Rechtsprechung verlangt ( BGE 125 V 351 E. 3a S. 352) - ausführlich begründet, weshalb sie - unter Mitberücksichtigung auch der übrigen ärztlichen Stellungnahmen - sowohl bezüglich der psychiatrischen Diagnosestellung als auch hinsichtlich der Arbeitsfähigkeit auf die Expertise des Zentrums X.________ und nicht auf die Angaben der Spezialisten des Zentrums Y.________ oder des Hausarztes Dr. med. A.________ abstellte. Zudem hat sie sich in zutreffender Weise zur vermeintlichen Widersprüchlichkeit zwischen der fehlenden psychiatrischen Diagnose und der von Dr. med. B.________ vom Zentrum X.________ dennoch empfohlenen psychiatrisch-psychotherapeutischen Begleitung geäussert. Dasselbe gilt bezüglich der Rüge, die Ärzte des Zentrums X.________ hätten sich nicht an die Leitlinien der Schweizerischen Gesellschaft für Versicherungspsychiatrie gehalten, und der Kritik an der Dauer der psychiatrischen Untersuchung durch Dr. med. B.________. Die diese Aspekte betreffende, schon im kantonalen Verfahren und in der hier zu prüfenden Beschwerde erneut vorgebrachte Argumentation stellt - soweit darauf angesichts der in E. 1 hievor angeführten Kognitionsregelung überhaupt weiter einzugehen ist - weder die Beweistauglichkeit des Gutachtens des Zentrums X.________ vom 1. Juni 2006 noch dessen Beweiswert in Frage. Auch dass Dr. med. B.________ keine somatoforme Schmerzstörung erkennen und dementsprechend keine dadurch bedingte Arbeitsunfähigkeit attestieren konnte, spricht nicht gegen die Zuverlässigkeit seiner Abklärungen und die Richtigkeit der dabei gewonnenen Erkenntnisse. Die vom Beschwerdeführer erwartete Prüfung einer allfälligen Komorbidität - zu welcher schon die Vorinstanz nur noch im Sinne einer Alternativbegründung Stellung genommen hat - erübrigt sich damit von vornherein.</w:t>
      </w:r>
    </w:p>
    <w:p>
      <w:r>
        <w:rPr>
          <w:b/>
        </w:rPr>
        <w:t>E. 2.3</w:t>
      </w:r>
    </w:p>
    <w:p>
      <w:r>
        <w:t>Das kantonale Gericht durfte demnach das Gutachten des Zentrums X.________ im Rahmen seiner pflichtgemässen Beweiswürdigung als voll beweiskräftig betrachten und ihm entscheidende Bedeutung beimessen. Sämtliche Vorbringen in der Beschwerdeschrift sind nicht geeignet, die vorinstanzlichen Sachverhaltsfeststellungen als mangelhaft ( Art. 97 Abs. 1 BGG ) oder den angefochtenen Entscheid als bundesrechtswidrig (Art. 95 f. BGG) erscheinen zu lassen.</w:t>
      </w:r>
    </w:p>
    <w:p>
      <w:r>
        <w:rPr>
          <w:b/>
        </w:rPr>
        <w:t>E. 3</w:t>
      </w:r>
    </w:p>
    <w:p>
      <w:r>
        <w:t>Die Beschwerde wird unter Verweis auf den vorinstanzlichen Entscheid als offensichtlich unbegründet im vereinfachten Verfahren nach Art. 109 Abs. 2 lit. a BGG erledigt. Da sie von Anfang an aussichtslos war, ist eine der gemäss Art. 64 Abs. 1 BGG für die beantragte Gewährung der unentgeltlichen Rechtspflege erforderlichen Voraussetzungen nicht erfüllt, weshalb diesem Begehren nicht entsprochen werden kann. Die Gerichtskosten sind dem Ausgang des Verfahrens entsprechend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