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446/2023 vom 25. August 2023</w:t>
      </w:r>
    </w:p>
    <w:p>
      <w:r>
        <w:t>Bundesgericht, 2023-08-25, DE</w:t>
      </w:r>
    </w:p>
    <w:p>
      <w:r>
        <w:rPr>
          <w:b/>
        </w:rPr>
        <w:t xml:space="preserve">Quelle: </w:t>
      </w:r>
      <w:r>
        <w:t>https://mcp.opencaselaw.ch/entscheid/bger_8C_446_2023</w:t>
      </w:r>
    </w:p>
    <w:p>
      <w:r>
        <w:t>FR: TF 8C 446/2023 du 25 août 2023</w:t>
      </w:r>
    </w:p>
    <w:p>
      <w:r>
        <w:t>IT: TF 8C 446/2023 del 25 agosto 2023</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bestätige im angefochtenen Urteil vom 18. April 2023 die Verfügung der Beschwerdegegnerin vom 12. Januar 2023, wonach dem Beschwerdeführer trotz vorhandenen Gesundheitsschadens keine Leistungen aus der Invalidenversicherung zustehen. In Auseinandersetzung mit den Parteivorbringen und Würdigung der Akten legte sie einlässlich dar, weshalb hinsichtlich der Auswirkungen des Gesundheitsschadens auf die Arbeitsfähigkeit auf das polydisziplinäre Gutachten der SMAB AG St. Gallen vom 19. Mai 2022 abgestellt werden kann. Davon ausgehend schloss sie auf einen nicht leistungsbegründenden Invaliditätsgrad.</w:t>
      </w:r>
    </w:p>
    <w:p>
      <w:r>
        <w:rPr>
          <w:b/>
        </w:rPr>
        <w:t>E. 3</w:t>
      </w:r>
    </w:p>
    <w:p>
      <w:r>
        <w:t>Der Beschwerdeführer legt nicht dar, inwieweit die von der Vorinstanz in diesem Zusammenhang getroffenen Sachverhaltsfeststellungen (zur Arbeitsfähigkeit) offensichtlich unrichtig im Sinne von Art. 97 Abs. 1 BGG , das heisst willkürlich ( BGE 146 IV 88 E. 1.3.1 f.; 140 III 115 E. 2; je mit Hinweisen), sein und die darauf beruhenden Erwägungen gegen Bundesrecht verstossen oder einen anderen Beschwerdegrund (vgl. Art. 95 lit. a-e BGG ) gesetzt haben sollen. Insbesondere genügt es nicht, einzelne im Rahmen der fachspezifischen Begutachtung erfolgte Aussagen von Seiten der untersuchenden Person, wie etwa zum Blutdruck, anzurufen, ohne zugleich aufzuzeigen, inwiefern deswegen die auf einem interdisziplinären Konsens beruhende Gesamteinschätzung der Restarbeitsfähigkeit nicht schlüssig sein soll. Soweit sodann hinsichtlich des hypothetisch zumutbaren Einkommens als Invalider ein sogenannter leidensbedingter Abzug vom Tabellenlohn gefordert wird, ist dies nicht hinreichend sachbezogen. Denn das kantonale Gericht hat dazu festgehalten, selbst wenn der rechtsprechungsgemäss maximal zulässige Abzug von 25 % zugelassen würde, führte dies zu keinem rentenbegründenden Invaliditätsgrad.</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der Beschwerdeergänzung vom 7. August 2023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