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8C_445/2021 vom 14. Januar 2022</w:t>
      </w:r>
    </w:p>
    <w:p>
      <w:r>
        <w:t>Bundesgericht, 2022-01-14, FR</w:t>
      </w:r>
    </w:p>
    <w:p>
      <w:r>
        <w:rPr>
          <w:b/>
        </w:rPr>
        <w:t xml:space="preserve">Quelle: </w:t>
      </w:r>
      <w:r>
        <w:t>https://mcp.opencaselaw.ch/entscheid/bger_8C_445_2021</w:t>
      </w:r>
    </w:p>
    <w:p>
      <w:r>
        <w:t>FR: TF 8C_445/2021 du 14 janvier 2022</w:t>
      </w:r>
    </w:p>
    <w:p>
      <w:r>
        <w:t>IT: TF 8C_445/2021 del 14 gennaio 2022</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reconnaissant le droit de l'intimée à des prestations de la recourante au-delà du 23 mai 2018 pour les suites de l'événement du 23 février 2018.</w:t>
      </w:r>
    </w:p>
    <w:p>
      <w:r>
        <w:t>Les prestations en question pouvant être en espèces (cf. art. 15 ss LAA ) et en nature (cf. art. 10 ss LAA ), le Tribunal fédéral n'est pas lié par les faits établis par l'autorité précédente (cf. art. 97 al. 2 et 105 al. 3 LTF) en ce qui concerne les faits communs aux deux types de prestations (cf. arrêt 8C_416/2019 du 15 juillet 2020 consid. 2 et les références).</w:t>
      </w:r>
    </w:p>
    <w:p>
      <w:r>
        <w:rPr>
          <w:b/>
        </w:rPr>
        <w:t>E. 3.1</w:t>
      </w:r>
    </w:p>
    <w:p>
      <w:r>
        <w:t>Le 1er janvier 2017 est entrée en vigueur la modification du 25 septembre 2015 de la LAA. Dans la mesure où l'accident assuré est survenu après cette date, le nouveau droit s'applique.</w:t>
      </w:r>
    </w:p>
    <w:p>
      <w:r>
        <w:t>Aux termes de l' art. 6 LAA dans sa teneur en vigueur depuis le 1er janvier 2017, les prestations d'assurance sont allouées en cas d'accident professionnel, d'accident non professionnel et de maladie professionnelle (al. 1); l'assurance alloue aussi ses prestations pour les lésions corporelles suivantes, pour autant qu'elles ne soient pas dues de manière prépondérante à l'usure ou à une maladie: [a. à e.]; f. les déchirures de tendons; [g. à h.] (al. 2); l'assurance alloue en outre ses prestations pour les lésions causées à l'assuré victime d'un accident lors du traitement médical (al. 3).</w:t>
      </w:r>
    </w:p>
    <w:p>
      <w:r>
        <w:t>Dans un arrêt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[RS 830.1] et que l'assuré souffrait d'une lésion corporelle au sens de l' art. 6 al. 2 LAA . Le Tribunal fédéral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résumé dans la RSAS 1/2020 p. 33 ss.; arrêt 8C_169/2019 du 10 mars 2020 consid. 5.2).</w:t>
      </w:r>
    </w:p>
    <w:p>
      <w:r>
        <w:rPr>
          <w:b/>
        </w:rPr>
        <w:t>E. 3.2</w:t>
      </w:r>
    </w:p>
    <w:p>
      <w:r>
        <w:t>En l'espèce, il est admis que la chute de l'intimée dans les escaliers du 23 février 2018 répond à la définition légale de la notion d'accident dans le domaine des assurances sociales. Par ailleurs, les investigations médicales ont mis à jour (entre autres) une déchirure transfixiante de deux tendons de la coiffe des rotateurs. Ces lésions constituent des lésions assimilées à un accident au sens de l' art. 6 al. 2 LAA . Au vu de la jurisprudence susmentionnée, c'est à juste titre que la cour cantonale a examiné la question du droit aux prestations de l'intimée à l'aune de l' art. 6 al. 1 LAA et on peut renvoyer à son arrêt en ce qui concerne le rappel, dans ce contexte, de l' art. 36 al. 1 LAA ainsi que des notions de statu quo ante/statu quo sine applicables lorsque l'atteinte à la santé n'est que partiellement imputable à l'accident en raison d'un état maladif préexistant (cf. ATF 146 V 51 consid. 5.1 in fine).</w:t>
      </w:r>
    </w:p>
    <w:p>
      <w:r>
        <w:rPr>
          <w:b/>
        </w:rPr>
        <w:t>E. 3.3</w:t>
      </w:r>
    </w:p>
    <w:p>
      <w:r>
        <w:t>On ajoutera encore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voir aussi l'arrêt 8C_796/2016 du 14 juin 2017 consid. 3.3).</w:t>
      </w:r>
    </w:p>
    <w:p>
      <w:r>
        <w:rPr>
          <w:b/>
        </w:rPr>
        <w:t>E. 4.1</w:t>
      </w:r>
    </w:p>
    <w:p>
      <w:r>
        <w:t>La cour cantonale a considéré qu'aussi bien les médecins-conseils de AXA que le docteur E.________ avaient exprimé un avis circonstancié quant à la question de savoir si les lésions constatées relevaient d'un processus dégénératif ou d'un événement traumatique. Elle n'a toutefois pas été convaincue par les explications du docteur F.________, selon lequel le mécanisme de l'accident n'était pas approprié pour solliciter les tendons de la coiffe des rotateurs au-delà de leur point de rupture. Ce dernier avait sous-estimé l'importance de l'événement accidentel: l'assurée n'était pas simplement tombée de sa hauteur mais avait fait une chute dans les escaliers qui lui avait occasionné une contusion et une dermabrasion au niveau de l'épaule ainsi qu'une plaie profonde au genou gauche. Une telle chute comportait en soi un risque potentiel de blessures graves, notamment à l'épaule, et ne pouvait pas être qualifiée de bénigne. Par ailleurs, les deux médecins-conseils de AXA avaient passé sous silence que l'assurée avait présenté une impotence immédiate de son épaule droite. Or, d'après la littérature médicale la plus récente (ALEXANDRE LÄDERMANN ET CONSORTS, Lésions transfixiantes dégénératives ou traumatiques de la coiffe des rotateurs, in Swiss Medical Forum, 2019, p. 263), une atteinte immédiate de la mobilité active en élévation ou en rotation externe, ou encore le développement d'une épaule pseudoparalytique était classiquement retrouvée après un accident. Toujours selon la cour cantonale, il n'était certes pas contestable que l'assurée présentait un certain nombre de lésions dégénératives préexistantes, ce que reconnaissait d'ailleurs également le docteur E.________. Toutefois, tant le docteur F.________ que le docteur G.________ avaient fourni une appréciation médicale indifférenciée de la situation de l'assurée, sans procéder à une analyse détaillée de chaque lésion constatée. Leur raisonnement, fondé sur la seule présence d'atteintes dégénératives préexistantes, ne permettait pas d'exclure que certaines lésions aient pu trouver leur origine dans l'événement traumatique subi, d'autant que le docteur E.________ avait précisé que l'infiltration graisseuse partielle de moins de 25 % du muscle, observée en mai 2018, était compatible avec une lésion survenue en février 2018. En conclusion, la cour cantonale a retenu qu'il existait une relation de causalité probable entre l'accident et la déchirure transfixiante des tendons des sus-épineux et sous-épineux. Au vu de l' art. 36 al. 1 LAA , c'était donc à tort que AXA avait refusé de prester au-delà du 23 mai 2018.</w:t>
      </w:r>
    </w:p>
    <w:p>
      <w:r>
        <w:rPr>
          <w:b/>
        </w:rPr>
        <w:t>E. 4.2</w:t>
      </w:r>
    </w:p>
    <w:p>
      <w:r>
        <w:t>La recourante reproche aux juges cantonaux d'avoir apprécié les avis médicaux et constaté les fait pertinents de manière arbitraire. Il serait inexact de retenir, comme ils l'ont fait, que le docteur F.________ a sous-estimé l'importance de l'accident. Il importerait peu que l'événement ait pu comporter "un risque potentiel de blessures graves" dès lors que ce risque ne s'est pas réalisé comme cela résulterait des constatations initiales de la doctoresse D.________. Par ailleurs, les docteurs F.________ et G.________ ont également fondé leurs conclusions sur l'imagerie, qui décrivait une série de lésions constitutionnelles et dégénératives (notamment un os acromial et des tendinopathies fissuraires de tous les tendons de la coiffe). De plus, les radiographies effectuées en février 2018 montraient un CSA [critical shoulder angle] à 40° favorisant les ruptures de surcharge de la coiffe supérieure. Quant à l'infiltration graisseuse visible sur l'IRM, elle est, selon le docteur G.________, le témoin indiscutable de la survenue d'une déchirure bien antérieure à la chute. L'avis du docteur E.________ ne contiendrait donc aucun élément propre à faire douter de la fiabilité des appréciations des docteurs F.________ et G.________. Enfin, la recourante fait valoir qu'un choc direct sur l'épaule ne serait pas susceptible de causer une lésion de la coiffe des rotateurs, à l'instar de ce qu'aurait relevé le Tribunal fédéral dans plusieurs arrêts en se référant à la doctrine médicale. Par conséquent, ce serait à tort que la cour cantonale a fait grand cas de l'existence d'une impotence initiale en s'appuyant sur un article du docteur LÄDERMANN (cf. consid. 4.1 supra). Au demeurant, l'avis de ce médecin ne ferait pas autorité, dans la mesure où d'autres auteurs retiennent que la présence d'une impotence ne signifie pas que l'on se trouve en présence d'une déchirure accidentelle de la coiffe des rotateurs (LUZI DUBS, BRUNO SOLTERMANN, JOSEF E. BRANDENBERG, PHILIPPE LUCHSINGER, Evaluation médicale ciblée après traumatisme de l'épaule - Causes des lésions isolées de la coiffe des rotateurs et leur diagnostic médical d'assécurologie, in Infoméd/Medinfo, n° 2021/1, p. 2 ch. 2).</w:t>
      </w:r>
    </w:p>
    <w:p>
      <w:r>
        <w:rPr>
          <w:b/>
        </w:rPr>
        <w:t>E. 4.3</w:t>
      </w:r>
    </w:p>
    <w:p>
      <w:r>
        <w:t>Contrairement à ce que soutient la recourante, il ne ressort pas de la jurisprudence fédérale qu'un traumatisme consistant en un choc direct sur l'épaule ne serait jamais de nature à causer une lésion de la coiffe des rotateurs. Dans l'arrêt le plus récent cité par la recourante (8C_59/2020 du 14 avril 2020), le Tribunal fédéral a justement souligné que la question faisait l'objet d'une controverse dans la littérature médicale récente (voir le consid. 5.4 de cet arrêt). Il a considéré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 (voir également l'arrêt 8C_672/2020 du 15 avril 2021 consid. 4.1.3 et 4.5).</w:t>
      </w:r>
    </w:p>
    <w:p>
      <w:r>
        <w:t>En l'occurrence, les médecins-conseils de la recourante et le docteur E.________ ne s'accordent que sur un seul point, à savoir que l'intimée présente des signes dégénératifs à son épaule droite; on peut également noter qu'aucun d'entre eux n'a mentionné l'atteinte fonctionnelle initiale chez l'intimée en tant qu'élément à prendre en compte pour se prononcer sur le lien de causalité. Leurs prises de position respectives quant à l'importance et à la portée à donner, dans leur examen de cette question, à l'état antérieur préexistant associé à d'autres facteurs tels que l'action vulnérante de l'événement, l'âge et l'absence de problèmes à l'épaule avant l'accident, de même que l'interprétation de l'imagerie (en particulier relative au pourcentage d'infiltration graisseuse du muscle sous-épineux), sont tellement divergentes qu'il apparaît difficile de les départager sans connaissances médicales spécialisées. En effet, on ne voit pas, dans les explications avancées de part et d'autre, de motifs reconnaissables pour le juge qui justifieraient d'écarter d'emblée un avis au profit de l'autre en raison d'une valeur probante insuffisante. On ignore également si tous les facteurs médicalement déterminants ont effectivement été pris en compte.</w:t>
      </w:r>
    </w:p>
    <w:p>
      <w:r>
        <w:rPr>
          <w:b/>
        </w:rPr>
        <w:t>E. 4.4</w:t>
      </w:r>
    </w:p>
    <w:p>
      <w:r>
        <w:t>Aussi, dans la mesure où le cas de l'intimée a été réglé sans avoir recours à une expertise et où il existe bien des doutes sur la fiabilité et la validité des constatations des médecins-conseils de la recourante, on se trouve dans la situation visée par la jurisprudence mentionnée au consid. 3.3 ci-dessus, qui impose de mettre en oeuvre une expertise par un médecin indépendant. Vu qu'il appartient en premier lieu à l'assureur-accidents de procéder à des instructions complémentaires pour établir d'office l'ensemble des faits déterminants et, le cas échéant, d'administrer les preuves nécessaires avant de rendre sa décision ( art. 43 al. 1 LPGA ; ATF 132 V 368 consid. 5; arrêt 8C_412/2019 du 9 juillet 2020 consid. 5.4 et ses références), la cause ne sera pas renvoyée à l'autorité précédente, comme le requiert la recourante, mais à cette dernière, afin qu'elle mette en oeuvre une expertise dans une procédure au sens de l' art. 44 LPGA et rende une nouvelle décision sur le droit aux prestations de l'intimée au-delà du 23 mai 2018. En ce sens, le recours se révèle bien fondé.</w:t>
      </w:r>
    </w:p>
    <w:p>
      <w:r>
        <w:rPr>
          <w:b/>
        </w:rPr>
        <w:t>E. 5</w:t>
      </w:r>
    </w:p>
    <w:p>
      <w:r>
        <w:t>Vu le sort du litige, les frais judiciaires seront mis à charge de l'intimée ( art. 66 al. 1 LTF ). Celle-ci a cependant déposé une demande d'assistance judiciaire. Dès lors que les conditions en sont réalisées ( art. 64 al. 1 et 2 LTF ), l'assistance judiciaire lui sera accordée. L'intimée est toutefois rendue attentive au fait qu'elle devra rembourser la caisse du Tribunal fédéral, si elle retrouve ultérieurement une situation financière lui permettant de le faire ( art. 64 al. 4 LTF ). 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