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445/2016 vom 7. Februar 2017</w:t>
      </w:r>
    </w:p>
    <w:p>
      <w:r>
        <w:t>Bundesgericht, 2017-02-07, DE</w:t>
      </w:r>
    </w:p>
    <w:p>
      <w:r>
        <w:rPr>
          <w:b/>
        </w:rPr>
        <w:t xml:space="preserve">Quelle: </w:t>
      </w:r>
      <w:r>
        <w:t>https://mcp.opencaselaw.ch/entscheid/bger_8C_445_2016</w:t>
      </w:r>
    </w:p>
    <w:p>
      <w:r>
        <w:t>FR: TF 8C 445/2016 du 7 février 2017</w:t>
      </w:r>
    </w:p>
    <w:p>
      <w:r>
        <w:t>IT: TF 8C 445/2016 del 7 febbraio 2017</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der Anspruch auf eine Invalidenrente bzw. die Frage, ob Vorinstanz und Verwaltung mit dessen Verneinung Bundesrecht verletzt haben.</w:t>
      </w:r>
    </w:p>
    <w:p>
      <w:r>
        <w:rPr>
          <w:b/>
        </w:rPr>
        <w:t>E. 3</w:t>
      </w:r>
    </w:p>
    <w:p>
      <w:r>
        <w:t>Die Vorinstanz hat die Bestimmungen und Grundsätze über den Begriff der Invalidität ( Art. 8 Abs. 1 ATSG in Verbindung mit Art. 4 Abs. 1 IVG ) und der Erwerbsunfähigkeit ( Art. 7 ATSG ) sowie den Anspruch auf eine Invalidenrente ( Art. 28 Abs. 1 und 2 IVG ) zutrefffend dargelegt. Dasselbe gilt für die Aufgabe der Ärzte bei der Invaliditätsermittlung ( BGE 140 V 193 E. 3.2 S. 195; 132 V 93 E. 4 S. 99) und die beweisrechtlichen Anforderungen an medizinische Berichte ( BGE 134 V 231 E. 5.1 S. 232; 125 V 351 E. 3a S. 352). Darauf wird verwiesen.</w:t>
      </w:r>
    </w:p>
    <w:p>
      <w:r>
        <w:rPr>
          <w:b/>
        </w:rPr>
        <w:t>E. 4</w:t>
      </w:r>
    </w:p>
    <w:p>
      <w:r>
        <w:t>Die Vorinstanz hat in E. 3 ihres Entscheid die massgebenden ärztlichen Berichte zutreffend wiedergegeben. Darauf wird ebenfalls verwiesen.</w:t>
      </w:r>
    </w:p>
    <w:p>
      <w:r>
        <w:rPr>
          <w:b/>
        </w:rPr>
        <w:t>E. 5.1</w:t>
      </w:r>
    </w:p>
    <w:p>
      <w:r>
        <w:t>Die Versicherte wendet sich im Wesentlichen gegen das von der Verwaltung veranlasste medizinische Gutachten, das im vorliegenden Fall als Entscheidungsgrundlage diente. Es handelt sich dabei um ein bidisziplinäres Gutachten, verfasst einerseits von Frau Dr. med. C.________, Fachärztin für Innere Medizin, speziell Rheumaerkrankungen, vom 28. Mai 2014 sowie anderseits von Dr. med. D.________, Facharzt für Psychiatrie und Psychotherapie, vom 2. Juni 2014, beides ergänzt um die bidisziplinäre Zusammenfassung vom 2. Juni 2014.</w:t>
      </w:r>
    </w:p>
    <w:p>
      <w:r>
        <w:rPr>
          <w:b/>
        </w:rPr>
        <w:t>E. 5.2</w:t>
      </w:r>
    </w:p>
    <w:p>
      <w:r>
        <w:t>Die Einwände der Versicherten erfolgen zunächst auf der formalen Ebene des Verfahrens bzw. der personellen Auswahl der Gutachter. In dieser Hinsicht rügt die Beschwerdeführerin eine Verletzung von Art. 44 ATSG , da sie als nicht anwaltlich vertretene Versicherte von der IV-Stelle nicht auf die Möglichkeit hingewiesen worden sei, dass sie andere Gutachter vorschlagen könne. Entgegen der Ansicht der Versicherten bedeutet die einvernehmliche Gutachterbestellung nicht, dass entsprechende Aufträge nur noch mit dem Einverständnis der versicherten Person vergeben werden dürften; selbst bei zulässigen begründeten Einwänden muss die IV-Stelle den Gegenvorschlägen der versicherten Person nicht einfach folgen ( BGE 139 V 349 E. 5.2.1 S. 354). Da die Versicherte keine Einwände gegen die vorgesehenen Gutachter oder andere zulässigen Einwendungen erhoben hat, kam kein konsensorientiertes Vorgehen zum Zug ( BGE 139 V 349 E. 5.2.2.3 S. 356; vgl. auch SVR 2015 IV Nr. 3 S. 6 E. 4, 9C_718/2013). Die Rechtsprechung verlangt denn auch nicht, die versicherte Person sei explizit auf die Möglichkeit von Gegenvorschlägen hinzuweisen ( BGE 139 V 349 E. 5.2.2.2 S. 355). Somit liegt keine Verletzung von Art. 44 ATSG vor.</w:t>
      </w:r>
    </w:p>
    <w:p>
      <w:r>
        <w:rPr>
          <w:b/>
        </w:rPr>
        <w:t>E. 5.3</w:t>
      </w:r>
    </w:p>
    <w:p>
      <w:r>
        <w:t>Die Versicherte macht sodann vor Bundesgericht erneut geltend, Frau Dr. med. C.________ sei befangen, da sie sich in ihrem Gutachten vom 28. Mai 2014 parteiisch äussere und ausschliesslich für die Invalidenversicherung tätig sei. Nach der Rechtsprechung begründet das Auftrags- und Honorarvolumen für sich allein keine wirtschaftliche Abhängigkeit von den IV-Stellen, die als Ausstandsgrund des einzelnen Experten zu qualifizieren wäre ( BGE 137 V 210 E. 1.3.3 S. 226). Im Übrigen kann auf die zutreffenden vorinstanzlichen Ausführungen in deren E. 4.5, die vom BSV in seiner Stellungnahme angeführte Rechtsprechung (SVR 2016 IV Nr. 8 S. 23 E. 6.3 [8C_599/2014] sowie Urteile 8C_624/2015 vom 25. Januar 2016 E. 3.2.1, 8C_740/2015 vom 11. Februar 2016 E. 4.2 und 9C_793/2015 vom 19. August 2016 E. 4.2) sowie das kürzlich ergangene, sich einlässlich mit den erhobenen Rügen auseinandersetzende Urteil 8C_354/2016 vom 25. Oktober 2016 E. 5 verwiesen werden. Das Bundesgericht hat dem nichts beizufügen.</w:t>
      </w:r>
    </w:p>
    <w:p>
      <w:r>
        <w:rPr>
          <w:b/>
        </w:rPr>
        <w:t>E. 6.1</w:t>
      </w:r>
    </w:p>
    <w:p>
      <w:r>
        <w:t>Vorinstanz und Verwaltung haben sich bei der Prüfung des Anspruchs auf eine Invalidenrente vollumfänglich auf die Gutachten der Frau Dr. med. C.________ vom 28. Mai 2014 und des Dr. med. D.________ vom 2. Juni 2014 resp. auf deren bidisziplinäre Zusammenfassung vom 2. Juni 2014 gestützt. Die Versicherte bringt verschiedene Einwände vor, weshalb nicht auf die Beurteilung durch Frau Dr. med. C.________ abgestellt werden könne.</w:t>
      </w:r>
    </w:p>
    <w:p>
      <w:r>
        <w:rPr>
          <w:b/>
        </w:rPr>
        <w:t>E. 6.2</w:t>
      </w:r>
    </w:p>
    <w:p>
      <w:r>
        <w:t>Streitig sind namentlich die Diagnose eines Ehlers-Danlos-Syndroms III und dessen Auswirkungen auf die Arbeitsfähigkeit.</w:t>
      </w:r>
    </w:p>
    <w:p>
      <w:r>
        <w:rPr>
          <w:b/>
        </w:rPr>
        <w:t>E. 6.2.1</w:t>
      </w:r>
    </w:p>
    <w:p>
      <w:r>
        <w:t>Gestützt auf die Beurteilung von Frau Dr. med. E.________, Oberärztin Stoffwechsel, Spital F.________, und entgegen der Ansicht von Frau Dr. med. C.________ ist davon auszugehen, dass ein Beighton Score von 5/9 vorliegt. Es kann diesbezüglich auf die vorinstanzlichen Feststellungen in ihrer E. 4.2 verwiesen werden.</w:t>
      </w:r>
    </w:p>
    <w:p>
      <w:r>
        <w:rPr>
          <w:b/>
        </w:rPr>
        <w:t>E. 6.2.2</w:t>
      </w:r>
    </w:p>
    <w:p>
      <w:r>
        <w:t>Frau Dr. med. C.________ erwähnt, Dr. med. G.________, Facharzt für Innere Medizin, habe im Rahmen seiner Begutachtung im Auftrag der Pensionskasse am 5. November 2013 eine Skoliose - ein weiteres Indiz für das Ehlers-Danlos-Syndrom III (vgl. etwa Harrisons Innere Medizin, 16. Aufl. 2005, S. 2505) - konstatiert. Sie hält hingegen fest, eine ausgeprägte Skoliose mit Beckenschiefstand sei nicht vorhanden. Wie sich aus dem Bericht des PD Dr. med. H.________, Facharzt für Radiologie, Medizinisch Radiologisches Institut, ergibt, konnte die Diagnose von Dr. med. G.________ bestätigt werden. Die Vorinstanz trägt dieser Sachlage im Rahmen ihrer Beweiswürdigung jedoch nicht Rechnung.</w:t>
      </w:r>
    </w:p>
    <w:p>
      <w:r>
        <w:rPr>
          <w:b/>
        </w:rPr>
        <w:t>E. 6.2.3</w:t>
      </w:r>
    </w:p>
    <w:p>
      <w:r>
        <w:t>Weiter erachten sämtliche behandelnden Ärzte (vgl. dazu die Stellungnahme vom 25. Juni 2014 des Dr. med. I.________, Facharzt für Chirurgie, und Leitender Arzt, Schmerz- und Komplementärmedizin, Spital K.________, sowie den Bericht der Frau Dr. med. E.________ vom 3. Januar 2014) wie auch der im Auftrag der leistungserbringenden Pensionskasse begutachtende Dr. med. G.________ die geltend gemachten Schmerzen als glaubhaft. Diese Einschätzung stimmt mit der Schlussfolgerung des psychiatrischen Gutachters Dr. med. D.________ überein, der eine primäre psychogene Ätiologie für die geklagten Schmerzen und damit auch eine somatoforme Schmerzstörung ausschliesst. Zudem verneint Dr. med. D.________ jegliche Hinweise auf Verdeutlichungstendenz, Aggravation oder Begehrlichkeit. Frau Dr. med. C.________ setzt sich hingegen mit den geltend gemachten Schmerzen und der abweichenden Beurteilung zu deren Einfluss auf die zumutbare Arbeitsfähigkeit durch die übrigen Ärzte nicht einlässlich auseinander. Sie greift diesen massgebenden Aspekt zwar kurz auf, geht aber in ihrer Beurteilung der Leistungsfähigkeit nicht eigentlich darauf ein, was mit den erwähnten Aussagen des psychiatrischen Mitgutachters zu den Schmerzen nicht in Einklang gebracht werden kann. Eine eingehendere Befassung mit der Schmerzproblematik wäre nicht nur mit Blick auf die von den übrigen Ärzten als glaubhaft qualifizierten subjektiven Angaben der Versicherten, sondern auch auf Grund des von Frau Dr. med. C.________ selbst erhobenen Schmerzmittelkonsums geboten gewesen.</w:t>
      </w:r>
    </w:p>
    <w:p>
      <w:r>
        <w:rPr>
          <w:b/>
        </w:rPr>
        <w:t>E. 6.3</w:t>
      </w:r>
    </w:p>
    <w:p>
      <w:r>
        <w:t>Nach dem Gesagten liegen mehrere Differenzen in der Beurteilung der medizinischen Situation zwischen Frau Dr. med. C.________ und den übrigen behandelnden (Frau Dr. med. E.________, Dr. med. I.________) oder ausschliesslich begutachtenden (Dr. med. G.________; Dr. med. D.________) Ärzten vor, welche die Erstere nicht überzeugend zu erklären vermag. Infolge dieser Unvereinbarkeiten kann der Einschätzung der Frau Dr. med. C.________ gemäss Gutachten vom 28. Mai 2014 nicht gefolgt werden.</w:t>
      </w:r>
    </w:p>
    <w:p>
      <w:r>
        <w:rPr>
          <w:b/>
        </w:rPr>
        <w:t>E. 6.4</w:t>
      </w:r>
    </w:p>
    <w:p>
      <w:r>
        <w:t>Da die bidisziplinäre Begutachtung durch Frau Dr. med. C.________ und Dr. med. D.________ nicht als Grundlage zur Bestimmung des Invaliditätsgrades dienen kann, ist die Sache unter Aufhebung des kantonalen Entscheids zur Einholung eines Gerichtsgutachtens und anschliessendem neuen Entscheid an die Vorinstanz zurückzuweisen.</w:t>
      </w:r>
    </w:p>
    <w:p>
      <w:r>
        <w:rPr>
          <w:b/>
        </w:rPr>
        <w:t>E. 7</w:t>
      </w:r>
    </w:p>
    <w:p>
      <w:r>
        <w:t>Das Verfahren ist kostenpflichtig. Die unterliegende IV-Stelle hat die Gerichtskosten zu tragen ( Art. 66 Abs. 1 BGG ). Die Versicherte hat Anspruch auf eine Parteientschädigung ( Art. 68 Abs. 1 und 2 BGG ). Die Vorinstanz wird entsprechend dem Ausgang dieses Prozesses über die Kostenregelung im kantonalen Verfahren mit ihrem erneuten Entscheid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