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8C_444/2024 vom 2. Oktober 2024</w:t>
      </w:r>
    </w:p>
    <w:p>
      <w:r>
        <w:t>Bundesgericht, 2024-10-02, DE</w:t>
      </w:r>
    </w:p>
    <w:p>
      <w:r>
        <w:rPr>
          <w:b/>
        </w:rPr>
        <w:t xml:space="preserve">Quelle: </w:t>
      </w:r>
      <w:r>
        <w:t>https://mcp.opencaselaw.ch/entscheid/bger_8C_444_2024</w:t>
      </w:r>
    </w:p>
    <w:p>
      <w:r>
        <w:t>FR: TF 8C_444/2024 du 2 octobre 2024</w:t>
      </w:r>
    </w:p>
    <w:p>
      <w:r>
        <w:t>IT: TF 8C_444/2024 del 2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Entscheid vom 17. Juli 2024 den Einspracheentscheid der Beschwerdegegnerin vom 13. Februar 2024, wonach der Erlass der zurückgeforderten Ergänzungsleistungen in der Höhe von Fr. 2'976.- nicht in Frage komme. Dabei verneinte sie den guten Glauben und stellte fest, dass damit die zweite Erlassvoraussetzung, das Vorliegen der grossen Härte (vgl. Art. 25 Abs. 1 Satz 2 ATSG ; SR 830.1), nicht näher zu prüfen sei.</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geltend zu machen, immer im guten Glauben gehandelt zu haben und überdies um Nachsicht zu ersuchen, reicht nicht aus. Soweit der Beschwerdeführer seine angespannte finanzielle Situation erwähnt, wird dadurch der Begründungsmangel bezüglich des streitentscheidenden Punktes (fehlender guter Glaube) nicht behoben.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r>
        <w:t>Damit wird das mit Beschwerdeergänzung vom 22. August 2024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