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8C_443/2019 vom 7. November 2019</w:t>
      </w:r>
    </w:p>
    <w:p>
      <w:r>
        <w:t>Bundesgericht, 2019-11-07, DE</w:t>
      </w:r>
    </w:p>
    <w:p>
      <w:r>
        <w:rPr>
          <w:b/>
        </w:rPr>
        <w:t xml:space="preserve">Quelle: </w:t>
      </w:r>
      <w:r>
        <w:t>https://mcp.opencaselaw.ch/entscheid/bger_8C_443_2019</w:t>
      </w:r>
    </w:p>
    <w:p>
      <w:r>
        <w:t>FR: TF 8C_443/2019 du 7 novembre 2019</w:t>
      </w:r>
    </w:p>
    <w:p>
      <w:r>
        <w:t>IT: TF 8C_443/2019 del 7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w:t>
      </w:r>
    </w:p>
    <w:p>
      <w:r>
        <w:rPr>
          <w:b/>
        </w:rPr>
        <w:t>E. 1.3</w:t>
      </w:r>
    </w:p>
    <w:p>
      <w:r>
        <w:t>In Bezug auf die vorinstanzliche Sachverhaltsfeststellung und Beweiswürdigung gilt eine qualifizierte Rügepflicht. Diesbezügliche Mängel sind in der Beschwerde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2.1</w:t>
      </w:r>
    </w:p>
    <w:p>
      <w:r>
        <w:t>Streitig ist, ob das kantonale Gericht zu Recht bestätigte, dass die ALK mit Entscheid vom 12. November 2018 in Bezug auf die Verfügung vom 4. August 2017 einen Revisionsgrund im Sinne von Art. 53 Abs. 1 ATSG verneinte.</w:t>
      </w:r>
    </w:p>
    <w:p>
      <w:r>
        <w:rPr>
          <w:b/>
        </w:rPr>
        <w:t>E. 2.2</w:t>
      </w:r>
    </w:p>
    <w:p>
      <w:r>
        <w:t>Gegen den angefochtenen Entscheid erhebt der Beschwerdeführer vor Bundesgericht insoweit keine Einwände mehr, als die Vorinstanz die Beschwerde gegen das Nichteintreten der ALK auf das Wiedererwägungsgesuch vom 15. Juni 2018 (vgl. BGE 133 V 50 ) abgewiesen hat.</w:t>
      </w:r>
    </w:p>
    <w:p>
      <w:r>
        <w:rPr>
          <w:b/>
        </w:rPr>
        <w:t>E. 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rechtsbeständig gewordenen Leistungszusprechungen zur Anwendung.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VwVG in Verbindung mit Art. 55 Abs. 1 ATSG ; BGE 143 V 105 E. 2.1 S. 106 f. mit Hinweisen).</w:t>
      </w:r>
    </w:p>
    <w:p>
      <w:r>
        <w:rPr>
          <w:b/>
        </w:rPr>
        <w:t>E. 3.2</w:t>
      </w:r>
    </w:p>
    <w:p>
      <w:r>
        <w:t>Laut Eingangsdatum gelangte der am 14. Juli 2017 von der C.________ und dem Versicherten unterzeichnete Arbeitsvertrag am 31. Juli 2017 zu den Akten der Beschwerdegegnerin. Unter Mitberücksichtigung der von der Arbeitgeberin am 3. August 2017 (Eingangsdatum) eingereichten Bescheinigung über den Zwischenverdienst vom 31. Juli 2017 verfügte die ALK am 4. August 2017 die Verneinung eines Anspruchs auf Arbeitslosenentschädigung ab 17. Juli 2017 (Beginn des Arbeitsverhältnisses). Daraufhin traf am 16. August 2017 (Eingangsdatum) ein leicht abgeänderter Arbeitsvertrag bei der Beschwerdegegnerin ein. Auch dieser Vertrag war laut Vertragsurkunde am gleichen Tag (14. Juli 2017) von denselben Parteien (der C.________ und dem Versicherten) unterzeichnet worden.</w:t>
      </w:r>
    </w:p>
    <w:p>
      <w:r>
        <w:rPr>
          <w:b/>
        </w:rPr>
        <w:t>E. 3.3</w:t>
      </w:r>
    </w:p>
    <w:p>
      <w:r>
        <w:t>Der seit 2. November 2017 rechtskundig vertretene Versicherte machte erstmals im vorinstanzlichen Beschwerdeverfahren geltend, durch Einreichung des abgeänderten Arbeitsvertrages sinngemäss Einsprache gegen die Verfügung vom 4. August 2017 erhoben zu haben. Vor Bundesgericht beschränkt sich der Beschwerdeführer auf die Erneuerung dieser Rüge.</w:t>
      </w:r>
    </w:p>
    <w:p>
      <w:r>
        <w:rPr>
          <w:b/>
        </w:rPr>
        <w:t>E. 3.3.1</w:t>
      </w:r>
    </w:p>
    <w:p>
      <w:r>
        <w:t>Gemäss Art. 52 Abs. 1 Satz 1 ATSG kann gegen Verfügungen innerhalb von 30 Tagen bei der verfügenden Stelle Einsprache erhoben werden. Art. 52 Abs. 1 ATSG stellt in formeller Hinsicht keinerlei Anforderungen an die Einsprache. Der Bundesrat hat jedoch in Art. 10 bis 12 ATSV Bestimmungen zu Form und Inhalt der Einsprache sowie zum Einspracheverfahren erlassen. Gemäss Art. 10 Abs. 1 ATSV müssen Einsprachen ein Rechtsbegehren und eine Begründung enthalten. Abgesehen von den hier nicht massgebenden Fällen gemäss Art. 10 Abs. 2 ATSV kann die Einsprache laut Art. 10 Abs. 3 ATSV wahlweise schriftlich oder bei persönlicher Vorsprache mündlich erhoben werden. Die schriftlich erhobene Einsprache muss die Unterschrift der Einsprache führenden Person oder ihres Rechtsbeistands enthalten ( Art. 10 Abs. 4 Satz 1 ATSV ). Bei einer mündlich erhobenen Einsprache hält der Versicherer die Einsprache in einem Protokoll fest; die Person, welche die Einsprache führt, oder ihr Rechtsbeistand muss das Protokoll unterzeichnen ( Art. 10 Abs. 4 Satz 2 ATSV ). Genügt die Einsprache den Anforderungen nach Abs. 1 nicht oder fehlt die Unterschrift, so setzt der Versicherer eine angemessene Frist zur Behebung des Mangels an und verbindet damit die Androhung, dass sonst auf die Einsprache nicht eingetreten werde ( Art. 10 Abs. 5 ATSV ; BGE 142 V 152 E. 2.2 mit Hinweisen). Art. 61 lit. b ATSG , der das Verfahren vor dem kantonalen Versicherungsgericht betrifft, stimmt inhaltlich überein mit Art. 10 Abs. 1 und 5 ATSV ( BGE 134 V 162 E. 2 S. 163 mit Hinweisen).</w:t>
      </w:r>
    </w:p>
    <w:p>
      <w:r>
        <w:rPr>
          <w:b/>
        </w:rPr>
        <w:t>E. 3.3.2</w:t>
      </w:r>
    </w:p>
    <w:p>
      <w:r>
        <w:t>Das kantonale Gericht hat mit angefochtenem Entscheid in tatsächlicher Hinsicht festgestellt, dass sich die beiden Arbeitsverträge, beide datierend vom 14. Juli 2017, nur geringfügig unterscheiden. Insbesondere gehe auch aus dem leicht abgeänderten, später der ALK eingereichten Vertrag nicht hervor, dass der Versicherte nur in einem Teilpensum bei der Arbeitgeberin tätig war. In den übrigen Dokumenten, welche der Beschwerdeführer innert der - gerichtsferienbedingt - bis zum 14. September 2017 laufenden Einsprachefrist eingereicht habe, finde sich ebenfalls kein Hinweis, wonach er lediglich teilzeitlich für die C.________ tätig gewesen sei. In diesem Zeitraum habe er ausweislich der Akten keine Lohnabrechnung des Monats August 2017 eingereicht. Von Seiten der Arbeitgeberin - nicht des Versicherten - sei die Bescheinigung über den Zwischenverdienst vom 4. September 2017 inklusive die Lohnabrechnung für den August 2017 eingetroffen. Diese Umstände liessen nicht darauf schliessen, dass der Beschwerdeführer innert Frist bis zum 14. September 2017 sinngemäss Einsprache erhoben und geltend gemacht habe, statt in einem Vollzeitpensum nur in einem Teilzeitpensum erwerbstätig zu sein. Ein entsprechender Einsprachewille sei nicht erkennbar gewesen. Die Beschwerdegegnerin habe folglich keine Rechtspflicht verletzt, indem sie keine Nachfrist zur Verbesserung einer nicht ersichtlichen Einsprache angesetzt habe. Auch nach Empfang der Rückforderungsverfügung vom 5. Oktober 2017, welche sich ausdrücklich auf die Verfügung vom 4. August 2017 abstützte, habe sich der Beschwerdeführer weder mit Erlassgesuch vom 3. November 2017 noch mit Einsprache/Stellungnahme vom 22. November 2017 (Eingangsdatum) darauf berufen, gegen die Verfügung vom 4. August 2017 fristgerecht Einsprache erhoben zu haben. Zudem habe er es unterlassen, nach Empfang der Rückforderungsverfügung vom 5. Oktober 2017 innert 30 Tagen um Wiederherstellung der Einsprachefrist gegen die Verfügung vom 4. August 2017 zu ersuchen. Schliesslich stelle das Schreiben des Bezirksgerichts Baden vom 22. Mai 2018 keinen Revisionsgrund im Sinne von Art. 53 Abs. 1 ATSG dar. Denn laut nachträglicher Darstellung des Versicherten sei sich dieser ja angeblich schon am 14. Juli 2017 bei Abschluss des Arbeitsvertrages - entgegen dem Vertragswortlaut - mit der Arbeitgeberin einig gewesen, dass er nicht in einem 100%-Pensum, sondern nur stundenweise nach Bedarf zum Einsatz gelange. Demgemäss hätte der Beschwerdeführer schon vor Erlass der Verfügung vom 4. August 2017 gewusst, dass er lediglich in einem Teilpensum tätig sein würde. Doch habe er es unterlassen, die ALK entsprechend zu informieren. Es könne keine Rede davon sein, dass der Beschwerdegegnerin dieser Umstand bei hinreichender Sorgfalt vor Erlass der Verfügung vom 4. August 2017 hätte bekannt sein müssen. Allein aus der Vertragsüberschrift "Arbeitsvertrag / Zwischenverdienst" habe die ALK nicht von einer Teilzeitbeschäftigung ausgehen müssen.</w:t>
      </w:r>
    </w:p>
    <w:p>
      <w:r>
        <w:rPr>
          <w:b/>
        </w:rPr>
        <w:t>E. 3.3.3</w:t>
      </w:r>
    </w:p>
    <w:p>
      <w:r>
        <w:t>Was der Beschwerdeführer vor Bundesgericht hiegegen vorbringt, ist unbegründet, soweit er sich nicht mit appellatorischer Kritik am angefochtenen Entscheid begnügt (vgl. dazu E. 1.3 hievor). Ohne konkret darzulegen, inwiefern die vorinstanzliche Sachverhaltsfeststellung und Beweiswürdigung das Willkürverbot verletzen würden (vgl. E. 1.2 hievor), macht er geltend, die Argumentation des kantonalen Gerichts sei "nicht überzeugend und zu kurz gegriffen". Mit Blick auf die eingehende Beweiswürdigung gemäss angefochtenem Entscheid zeigt der Versicherte nicht in einer der qualifizierten Rügepflicht genügenden Weise auf, weshalb die Vorinstanz Bundesrecht verletzt haben soll, indem sie aus dem Empfang des leicht abgeänderten Arbeitsvertrages nicht auf die sinngemässe Erhebung einer Einsprache und den hiefür erforderlichen Einsprachewillen schloss. Insbesondere findet sich keine plausible Begründung dafür, dass der Beschwerdeführer angeblich seit Einreichung des abgeänderten Arbeitsvertrages am 16. August 2017 stets über den entsprechenden Einsprachewillen verfügt habe. Träfe dies zu, ist - wie vom kantonalen Gericht dargelegt - nicht nachvollziehbar, weshalb er diesen Willen nicht spätestens seit der Bevollmächtigung seiner Rechtsvertretung ab 2. November 2017 im Rahmen der Anfechtung der Rückforderungsverfügung vom 5. Oktober 2017 geltend machen und den betreffenden Einspracheentscheid vom 28. Februar 2018 unangefochten in Rechtskraft erwachsen liess, obwohl die Verfügung vom 4. August 2017 die Grundlage für die Rückforderung bildete. Schliesslich vermag der Versicherte auch aus BGE 123 V 128 nichts zu seinen Gunsten abzuleiten. Dort drehte sich der Streit einzig um die Wiedererlangung der vollen Arbeitsfähigkeit und die entsprechend verfügte Einstellung der Taggeldleistungen, weshalb das Eidgenössische Versicherungsgericht (heute: sozialrechtliche Abteilungen des Bundesgerichts) aus der Einreichung von zwei ärztlichen Arbeitsunfähigkeitszeugnissen während der laufenden Einsprachefrist auf den - mangelhaft formulierten - Einsprachewillen erkannte ( BGE 123 V 128 E. 3c S. 131 f.). Hier hat die Vorinstanz jedoch ausführlich und überzeugend dargelegt, weshalb die Beschwerdegegnerin bei bundesrechtskonformer Beweiswürdigung nicht verpflichtet war, aus der nachträglichen Eingabe des zurückdatierten, leicht abgeänderten Arbeitsvertrages auf eine sinngemässe Einspracheerhebung oder den erforderlichen Einsprachewillen des Beschwerdeführers zu schliessen. Denn allein aus dem Verzicht auf die Angabe der gesamthaften Anzahl Jahresarbeitsstunden bei gleichzeitigem Hinweis auf das Wochenarbeitspensum von 40 Stunden basierend auf einem 100%-Pensum gemäss zweiter Version des Arbeitsvertrages, drängte sich für die ALK gestützt auf die damals gegebenen Umstände unter dem Blickwinkel der prozessualen Revision nach Art. 53 Abs. 1 ATSG keine andere Schlussfolgerung auf. Bei diesem Ausgang kann offenbleiben, ob der Versicherte nicht spätestens im Rahmen der Anfechtung der Rückforderungsverfügung vom 5. Oktober 2017 - als er ab 2. November 2017 rechtskundig vertreten war - den hier geltend gemachten Revisionsgrund hätte erkennen müssen, sodass bei erstmaligem Vortrag dieser Argumentation im Rahmen des vorinstanzlichen Beschwerdeverfahrens (vgl. E. 3.3 hievor) die 90-tägige Frist (E. 3.1 hievor) ohnehin längst abgelaufen war.</w:t>
      </w:r>
    </w:p>
    <w:p>
      <w:r>
        <w:rPr>
          <w:b/>
        </w:rPr>
        <w:t>E. 3.4</w:t>
      </w:r>
    </w:p>
    <w:p>
      <w:r>
        <w:t>Nach dem Gesagten ist nicht ersichtlich, inwiefern der angefochtene Entscheid im Ergebnis als bundesrechtswidrig oder gar willkürlich zu beanstanden wäre. Folglich bleibt es beim Entscheid der ALK vom 12. November 2018.</w:t>
      </w:r>
    </w:p>
    <w:p>
      <w:r>
        <w:rPr>
          <w:b/>
        </w:rPr>
        <w:t>E. 4</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