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443/2007 vom 10. März 2008</w:t>
      </w:r>
    </w:p>
    <w:p>
      <w:r>
        <w:t>Bundesgericht, 2008-03-10, DE</w:t>
      </w:r>
    </w:p>
    <w:p>
      <w:r>
        <w:rPr>
          <w:b/>
        </w:rPr>
        <w:t xml:space="preserve">Quelle: </w:t>
      </w:r>
      <w:r>
        <w:t>https://mcp.opencaselaw.ch/entscheid/bger_8C_443_2007</w:t>
      </w:r>
    </w:p>
    <w:p>
      <w:r>
        <w:t>FR: TF 8C 443/2007 du 10 mars 2008</w:t>
      </w:r>
    </w:p>
    <w:p>
      <w:r>
        <w:t>IT: TF 8C 443/2007 del 10 marzo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Streitig und zu prüfen ist der Anspruch auf Leistungen der Arbeitslosenversicherung in Form von Kompensationszahlungen für die Monate Februar, März, Juni und Juli 2006. Ob der Beschwerdeführer die Höhe der Kompensationszahlungen für den Monat April im letztinstanzlichen Verfahren versehentlich oder absichtlich nicht bemängelt hat, kann dahingestellt bleiben, weil so oder anders kein abweichendes Ergebnis resultiert, wie sich nachfolgend zeigen wird.</w:t>
      </w:r>
    </w:p>
    <w:p>
      <w:r>
        <w:rPr>
          <w:b/>
        </w:rPr>
        <w:t>E. 3.1</w:t>
      </w:r>
    </w:p>
    <w:p>
      <w:r>
        <w:t>Das kantonale Gericht hat die massgeblichen Bestimmungen zum Begriff des Zwischenverdienstes und zum Anspruch auf Ersatz des Verdienstausfalls ( Art. 24 Abs. 1 AVIG ) sowie zur Definition des Verdienstausfalls ( Art. 24 Abs. 3 AVIG ) zutreffend dargelegt. Darauf wird verwiesen. Zu ergänzen ist, dass innerhalb der Rahmenfrist für den Leistungsbezug ein Anspruch auf Kompensationszahlungen besteht, wenn das Einkommen geringer ist als die dem Versicherten zustehende Arbeitslosenentschädigung ( Art. 41a Abs. 1 AVIV ).</w:t>
      </w:r>
    </w:p>
    <w:p>
      <w:r>
        <w:rPr>
          <w:b/>
        </w:rPr>
        <w:t>E. 3.2</w:t>
      </w:r>
    </w:p>
    <w:p>
      <w:r>
        <w:t>Sinn und Zweck der Entschädigung des Verdienstausfalles ist es, Anreiz für die Annahme schlecht entlöhnter Arbeiten zu schaffen ( BGE 125 V 480 E. 4c/cc S. 490). Mit dem Korrektiv der Berufs- und Ortsüblichkeit der Entlöhnung soll verhindert werden, dass Arbeitgeber und Arbeitnehmer im Sinne eines Lohndumping einen zu niedrigen Verdienst vereinbaren, um die Differenz zu Lasten der Arbeitslosenversicherung entschädigen zu lassen ( BGE 129 V 102 E. 3.3 S. 103).</w:t>
      </w:r>
    </w:p>
    <w:p>
      <w:r>
        <w:rPr>
          <w:b/>
        </w:rPr>
        <w:t>E. 4</w:t>
      </w:r>
    </w:p>
    <w:p>
      <w:r>
        <w:t>Die Vorinstanz hat in pflichtgemässer Würdigung der gesamten Aktenlage mit einlässlicher und nachvollziehbarer Begründung erkannt, dass der in den Monaten Februar, März, April, Juni und Juli 2006 erzielte Stundenlohn als Aushilfschauffeur zwischen Fr. 12.20 und Fr. 15.10 (inklusive Ferienentschädigung) deutlich unter den berufs- und ortsüblichen Mindestlöhnen für eine solche Tätigkeit liegt, der von der Arbeitslosenkasse errechnete Stundenlohn von Fr. 16.30 (recte: Fr. 16.27; inklusive Ferienentschädigung) hingegen das Kriterium der Berufs- und Ortsüblichkeit erfüllt. Der unter Berücksichtigung eines Stundenlohnes von Fr. 16.30 (bzw. Fr. 16.27) erhöhte Zwischenverdienst hat demgemäss nach Auffassung des kantonalen Gerichts Ausgangspunkt für die Berechnung der Kompensationszahlungen in den erwähnten Monaten zu bilden. Die Vorbringen des Beschwerdeführers vermögen diese Betrachtungsweise nicht in Zweifel zu ziehen. Die tatsächlichen Feststellungen sind nicht mangelhaft im Sinne von Art. 97 Abs. 1 BGG und die rechtliche Würdigung der Vorinstanz ist bundesrechtskonform. Daran ändert auch der Einwand des Versicherten, das kantonale Gericht habe sich bei seinem Entscheid auf eine neue Berechnungsgrundlage, nämlich die Schweizerische Lohnstrukturerhebung des Bundesamtes für Statistik (LSE) 2004 abgestützt, nichts. Im angefochtenen Entscheid wird die LSE 2004 lediglich zur Durchführung einer Kontrollrechnung beigezogen. Ein anderes Ergebnis resultiert aus dieser Überprüfung nicht. Inwiefern das kantonale Gericht mit seinem Vorgehen das rechtliche Gehör verletzt haben soll, ist nicht nachvollziehbar. Schliesslich kann der Beschwerdeführer aus dem Umstand, dass er für seine Aushilfstätigkeit als Chauffeur nicht im Stundenlohn, sondern mittels einer Umsatzbeteiligung von 40 % entlöhnt wird, ebenfalls nichts zu seinen Gunsten ableiten. Erzielt eine umsatzbezogen entlöhnte Person einen Verdienst, der nicht annähernd der Arbeitsleistung entspricht, so liegt gleichermassen kein berufs- und ortsüblicher Verdienst vor. Nimmt eine versicherte arbeitslose Person aus freien Stücken, d.h. ohne amtliche Zuweisung, eine solche Anstellung als Zwischenverdiensttätigkeit auf, liefe es dem in Erwägung 3.2 hiervor umschriebenen Zweck zuwider, wenn die Arbeitslosenversicherung für die Folgen der unüblich niedrigen Salärierung einzustehen hätte.</w:t>
      </w:r>
    </w:p>
    <w:p>
      <w:r>
        <w:rPr>
          <w:b/>
        </w:rPr>
        <w:t>E. 5</w:t>
      </w:r>
    </w:p>
    <w:p>
      <w:r>
        <w:t>Die Beschwerde hatte keine Aussicht auf Erfolg, weshalb sie im vereinfachten Verfahren nach Art. 109 BGG als offensichtlich unbegründet (Abs. 2 lit. a), mit summarischer Begründung, unter Verweis auf den vorinstanzlichen Entscheid (Abs. 3) und ohne Durchführung eines Schriftenwechsels erledigt wird.</w:t>
      </w:r>
    </w:p>
    <w:p>
      <w:r>
        <w:rPr>
          <w:b/>
        </w:rPr>
        <w:t>E. 6</w:t>
      </w:r>
    </w:p>
    <w:p>
      <w:r>
        <w:t>Die Gerichtskosten hat der Beschwerdeführer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