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8C_442/2023 vom 6. September 2023</w:t>
      </w:r>
    </w:p>
    <w:p>
      <w:r>
        <w:t>Bundesgericht, 2023-09-06, DE</w:t>
      </w:r>
    </w:p>
    <w:p>
      <w:r>
        <w:rPr>
          <w:b/>
        </w:rPr>
        <w:t xml:space="preserve">Quelle: </w:t>
      </w:r>
      <w:r>
        <w:t>https://mcp.opencaselaw.ch/entscheid/bger_8C_442_2023</w:t>
      </w:r>
    </w:p>
    <w:p>
      <w:r>
        <w:t>FR: TF 8C_442/2023 du 6 septembre 2023</w:t>
      </w:r>
    </w:p>
    <w:p>
      <w:r>
        <w:t>IT: TF 8C_442/2023 del 6 settembre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20. Juni 2023 die Verfügung der Beschwerdegegnerin vom 18. Januar 2023, mit welcher das mit Neuanmeldung im September 2021 gestellte Invalidenrentenbegehren abgelehnt wurde.</w:t>
      </w:r>
    </w:p>
    <w:p>
      <w:r>
        <w:t>Dabei verglich sie den Gesundheitszustand, wie er zum Zeitpunkt der ersten Rentenablehnungsverfügung vom 13. Mai 2019 ausgewiesen war, mit demjenigen, wie er sich anlässlich der neuen Rentenverfügung vom 18. Januar 2023 präsentierte. In Auseinandersetzung mit den Parteivorbringen und in Würdigung der Akten gelangte sie dabei zur Überzeugung, es liege keine wesentliche Veränderung vor.</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Insbesondere genügt es nicht, allein zu behaupten, der Gesundheitszustand habe sich in jüngerer Zeit (weiter) verschlechtert, weshalb die Beschwerdeführerin gegenwärtig "zu 100 % krank geschrieben" sei und wieder operiert werden sollte.</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