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442/2017 vom 25. August 2017</w:t>
      </w:r>
    </w:p>
    <w:p>
      <w:r>
        <w:t>Bundesgericht, 2017-08-25, DE</w:t>
      </w:r>
    </w:p>
    <w:p>
      <w:r>
        <w:rPr>
          <w:b/>
        </w:rPr>
        <w:t xml:space="preserve">Quelle: </w:t>
      </w:r>
      <w:r>
        <w:t>https://mcp.opencaselaw.ch/entscheid/bger_8C_442_2017</w:t>
      </w:r>
    </w:p>
    <w:p>
      <w:r>
        <w:t>FR: TF 8C 442/2017 du 25 août 2017</w:t>
      </w:r>
    </w:p>
    <w:p>
      <w:r>
        <w:t>IT: TF 8C 442/2017 del 25 agosto 2017</w:t>
      </w:r>
    </w:p>
    <w:p>
      <w:pPr>
        <w:pStyle w:val="Heading2"/>
      </w:pPr>
      <w:r>
        <w:t>Regeste</w:t>
      </w:r>
    </w:p>
    <w:p>
      <w:r>
        <w:t>Arbeitslosenversicherung (Rahmenfrist für den Leistungsbezug; Arbeitslosenentschädigung) | Arbeitslosenversicherung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(Art. 97 Abs. 1, Art. 105   Abs. 2 BGG).</w:t>
      </w:r>
    </w:p>
    <w:p>
      <w:r>
        <w:rPr>
          <w:b/>
        </w:rPr>
        <w:t>E. 2</w:t>
      </w:r>
    </w:p>
    <w:p>
      <w:r>
        <w:t>Das kantonale Gericht - auf dessen Entscheid verwiesen wird       ( Art. 109 Abs. 3 BGG ) - hat die für die Beurteilung des Leistungsanspruchs massgebenden rechtlichen Grundlagen richtig dargelegt.</w:t>
      </w:r>
    </w:p>
    <w:p>
      <w:r>
        <w:rPr>
          <w:b/>
        </w:rPr>
        <w:t>E. 3</w:t>
      </w:r>
    </w:p>
    <w:p>
      <w:r>
        <w:t>Das kantonale Gericht erwog, bei den von der Kasse ab 1. August bis 31. Dezember 2015 ausgerichteten Taggeldern handle es sich um einen Anwendungsfall von Art. 29 Abs. 1 AVIG . Das Anspruchsmerkmal des anrechenbaren Arbeitsausfalls könne für diesen Zeitraum nicht nachträglich verneint werden. Demnach begännen der Anspruch auf Arbeitslosenentschädigung und die Leistungsrahmenfrist unverändert am 1. August 2015. Die vergleichsweise erbrachte Zahlung der ehemaligen Arbeitgeberin falle im Zusammenhang mit den Leistungen der Kasse nur insofern ins Gewicht, als sie gemäss Art. 29 Abs. 2 Satz 1 AVIG im Umfang der ausgerichteten Taggeldentschädigung auf die Kasse übergehe. Diese habe es somit zu Recht abgelehnt, den Beginn der Leistungsrahmenfrist zu korrigieren und auf den 1. Januar 2016 festzusetzen. Der Beschwerdeführer sei am 25. November 1955 geboren. Am 1. August 2015, als die Rahmenfrist eröffnet worden sei, sei er somit etwas mehr als 5 Jahre vom AHV-Alter entfernt gewesen. Eine Ausdehnung der Rahmenfrist und des Taggeldanspruchs im Sinne von Art. 41b AVIV entfalle demnach. Somit sei die Beschwerde abzuweisen.</w:t>
      </w:r>
    </w:p>
    <w:p>
      <w:r>
        <w:rPr>
          <w:b/>
        </w:rPr>
        <w:t>E. 4.1</w:t>
      </w:r>
    </w:p>
    <w:p>
      <w:r>
        <w:t>Der Beschwerdeführer bringt vor, er habe seine arbeitsrechtlichen Ansprüche gegenüber seiner Arbeitgeberin geltend gemacht und einen Vergleich abgeschlossen, den die Kasse bewilligt habe. Ob eine festgelegte Rahmenfrist für den Leistungsbezug auch bei nachträglich teilweiser oder vollständiger Realisierung der arbeitsvertraglichen Ansprüche unverändert bleibe, sei gesetzlich nicht klar geregelt. Die Weisung des Bundesamtes für Wirtschaft und Arbeit (BWA; heute Staatssekretariat für Wirtschaft, SECO) ALV-Praxis 98/4 Blatt 4 schliesse eine Verschiebung der Rahmenfristen in allen Fällen aus, was gesetzwidrig sei. Die Kasse habe die ihm vom 1. August bis      31. Dezember 2015 ausgerichtete Arbeitslosenentschädigung ohne Gegenleistung erhalten. Sein Anspruch sei entsprechend gekürzt worden, weil die Leistungsrahmenfrist nicht auf den 1. Januar 2016 verschoben worden sei. Er könne vermutlich auch keine neue Rahmenfrist erhalten, weil er nicht zwölf Monate als Arbeitnehmer gearbeitet habe. Somit sei die Kasse zu seinen Gunsten bereichert, weil sie weder die Leistungsrahmenfrist verschoben noch ihm die erhaltene Entschädigung zurückbezahlt habe. Dies sei rechtswidrig.</w:t>
      </w:r>
    </w:p>
    <w:p>
      <w:r>
        <w:rPr>
          <w:b/>
        </w:rPr>
        <w:t>E. 4.2</w:t>
      </w:r>
    </w:p>
    <w:p>
      <w:r>
        <w:t>Diese Einwände sind nicht stichhaltig. Denn bei der Ausrichtung von Arbeitslosenentschädigung gestützt auf den Sonderfall von Art. 29 Abs. 1 AVIG wird - wie die Vorinstanz zutreffend ausgeführt hat - unter der Voraussetzung, dass begründete Zweifel über Ansprüche aus Arbeitsvertrag bestehen, zugunsten des Leistungsbezügers das Anspruchsmerkmal des anrechenbaren Arbeitsausfalls im Sinne einer unwiderlegbaren gesetzlichen Vermutung als gegeben angenommen. Folgerichtig stellt die spätere vollständige oder teilweise Erfüllung der im Bestand oder im Hinblick auf die Realisierbarkeit mit Zweifeln behafteten Lohn- und Entschädigungsansprüche im Sinne von Art. 11 Abs. 3 AVIG keinen prozessualen Revisionsgrund dar mit der Folge, dass die Rahmenfrist entsprechend neu festzulegen wäre. Ebenfalls entfällt - systemkonform - eine Rückerstattungspflicht im Sinne von Art. 25 Abs. 1 ATSG ( BGE 137 V 362 E. 4.2.2 S. 366; vgl. auch BGE 127 V 475 E. 2b/bb S. 477 f.). Sachliche Gründe für eine Änderung dieser Rechtsprechung (hierzu siehe BGE 141 II 297 E. 5.5.1 S. 303; 140 V 538 E. 4.5 S. 541) macht der Beschwerdeführer nicht geltend und sind auch nicht ersichtlich. Nach dem Gesagten besteht auch keine Grundlage dafür, die Kasse zu verpflichten, dem Beschwerdeführer den Betrag von Fr. 22'118.45 zurückzuerstatten.</w:t>
      </w:r>
    </w:p>
    <w:p>
      <w:r>
        <w:rPr>
          <w:b/>
        </w:rPr>
        <w:t>E. 5</w:t>
      </w:r>
    </w:p>
    <w:p>
      <w:r>
        <w:t>Gegen die vorinstanzliche Ablehnung der Ausdehnung der Rahmenfrist und des Taggeldanspruchs nach Art. 41b Abs. 1 f. AVIV erhebt der Beschwerdeführer keine substanziierten Einwände. Hierzu erübrigen sich somit Weiterungen.</w:t>
      </w:r>
    </w:p>
    <w:p>
      <w:r>
        <w:rPr>
          <w:b/>
        </w:rPr>
        <w:t>E. 6</w:t>
      </w:r>
    </w:p>
    <w:p>
      <w:r>
        <w:t>Da die Beschwerde offensichtlich unbegründet ist, wird das Verfahren nach Art. 109 Abs. 2 lit. a BGG angewendet.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