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440/2011 vom 11. Juli 2011</w:t>
      </w:r>
    </w:p>
    <w:p>
      <w:r>
        <w:t>Bundesgericht, 2011-07-11, DE</w:t>
      </w:r>
    </w:p>
    <w:p>
      <w:r>
        <w:rPr>
          <w:b/>
        </w:rPr>
        <w:t xml:space="preserve">Quelle: </w:t>
      </w:r>
      <w:r>
        <w:t>https://mcp.opencaselaw.ch/entscheid/bger_8C_440_2011</w:t>
      </w:r>
    </w:p>
    <w:p>
      <w:r>
        <w:t>FR: TF 8C 440/2011 du 11 juillet 2011</w:t>
      </w:r>
    </w:p>
    <w:p>
      <w:r>
        <w:t>IT: TF 8C 440/2011 del 11 luglio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Die Rechtsgrundlagen für die Beurteilung der Streitsache wurden im angefochtenen Entscheid korrekt wiedergegeben. Darauf wird verwiesen.</w:t>
      </w:r>
    </w:p>
    <w:p>
      <w:r>
        <w:rPr>
          <w:b/>
        </w:rPr>
        <w:t>E. 3.1</w:t>
      </w:r>
    </w:p>
    <w:p>
      <w:r>
        <w:t>Streitig und zu prüfen ist, ob die Vorinstanz - in Bestätigung der Verfügung der Beschwerdegegnerin vom 6. Januar 2010 - die Voraussetzungen für die Zusprechung einer Rente zu Recht verneint hat, nachdem die Versicherte sich nach Einstellung der Rentenleistungen per 30. November 2001 (Verfügung vom 26. Oktober 2001) Ende März 2006 erneut zum Bezug angemeldet hatte.</w:t>
      </w:r>
    </w:p>
    <w:p>
      <w:r>
        <w:rPr>
          <w:b/>
        </w:rPr>
        <w:t>E. 3.2</w:t>
      </w:r>
    </w:p>
    <w:p>
      <w:r>
        <w:t>Letztinstanzlich unbeanstandet geblieben - und daher für das Bundesgericht grundsätzlich verbindlich (E. 1 hievor) - ist die der Invaliditätsbemessung nach Massgabe der Situation im Gesundheitsfall zugrunde zu legende Aufteilung der Bereiche Erwerbstätigkeit/ Haushalt von 60 %/40 % (Statusfrage; vgl. auch Urteile [des Eidg. Versicherungsgerichts] I 693/06 vom 20. Dezember 2006 E. 4.1 und I 708/06 vom 23. November 2006 E. 3.1 und 3.2, je mit Hinweisen; ferner BGE 132 V 393 E. 3.3 S. 399), die Arbeitsfähigkeit der Beschwerdeführerin im Rahmen leidensangepasster Tätigkeiten von 50 % und die Erwerbseinbussen von 51,17 % bis Ende Juni 2009 bzw. von 56,19 % ab Juli 2009.</w:t>
      </w:r>
    </w:p>
    <w:p>
      <w:r>
        <w:rPr>
          <w:b/>
        </w:rPr>
        <w:t>E. 4.1</w:t>
      </w:r>
    </w:p>
    <w:p>
      <w:r>
        <w:t>Die Beschwerdegegnerin hat die gesundheitsbedingten Einschränkungen im häuslichen Aufgabenbereich gestützt auf die Erhebungen im Abklärungsbericht Haushalt vom 29. Februar 2008 (samt ergänzender Stellungnahme der IV-Abklärungsperson vom 28. März 2008) auf 9 % festgesetzt. Dieser Einschätzung wurde seitens des kantonalen Gerichts beigepflichtet, weshalb sie letztinstanzlich nur in engen Grenzen überprüfbar ist (vgl. Urteile 8C_373/2008 vom 28. August 2008 E. 6.1.1 und [des Eidg. Versicherungsgerichts] I 693/06 vom 20. Dezember 2006 E. 6.3). Die Beschwerdeführerin lässt der betreffenden Betrachtungsweise entgegenhalten, dass ihr Gesundheitszustand sich insbesondere seit anfangs 2006 markant verschlechtert habe, welchem Umstand anlässlich der Abklärungen vor Ort, wie diverse ärztliche Auskünfte belegten, nur ungenügend Rechnung getragen worden sei.</w:t>
      </w:r>
    </w:p>
    <w:p>
      <w:r>
        <w:rPr>
          <w:b/>
        </w:rPr>
        <w:t>E. 4.2</w:t>
      </w:r>
    </w:p>
    <w:p>
      <w:r>
        <w:t>Die Einwendungen der Versicherten, die sich zur Hauptsache in einer Wiederholung der bereits im kantonalen Verfahren vorgebrachten und einlässlich entkräfteten Rügen erschöpfen, vermögen die vorinstanzlichen Feststellungen unter eingeschränktem kognitionsrechtlichem Blickwinkel nicht in Zweifel zu ziehen. Selbst wenn im häuslichen Teilbereich "Haushaltführung" von einer Einschränkung von 50 % auszugehen wäre - der von der Beschwerdeführerin angerufene Bericht der Frau Dr. med. M.________, Spezialärztin für Psychiatrie und Psychotherapie, vom 16. September 2008 ortet eine Überforderung hauptsächlich in Bezug auf die organisatorischen Fähigkeiten -, resultierte mit einer Behinderung im Haushalt von diesfalls insgesamt 11,5 % und einem Invaliditätsgrad von 35 % ([0,6 x 51,17 %] + [0,4 x 11,5 %]) bzw. 38 % ([0,6 x 56,19 %] + [0,4 x 11,5 %]; zu den Rundungsregeln: BGE 130 V 121 ) kein für die Beschwerdeführerin günstigeres Ergebnis. Soweit die Ärzte der MEDAS mit Blick auf die bis Ende Mai 2005 ausgeübte Tätigkeit als Haushalts-/Reinigungshilfe von körperlich anspruchsvolleren Beschäftigungen (Fensterputzen, anderweitige Überkopfarbeiten, Arbeiten auf Leitern oder Gerüsten, während eines gewissen Zeitraums Zwangshaltungen des Rückens oder des Kopfes erfordernde Tätigkeiten, andauernde Arbeiten in kniender oder kauernder Stellung) abraten, gilt es zu beachten, dass bei der Besorgung des eigenen Haushalts in der Regel mehr Spielraum und Flexibilität für die Einteilung sowie Ausführung der Arbeit besteht als im Rahmen eines - hinsichtlich des Tätigkeitsprofils ähnlich ausgestalteten - Anstellungsverhältnisses. Mit häuslichen Aufgaben beschäftigte Versicherte haben Verhaltensweisen zu entwickeln, welche die Auswirkungen der Behinderung im hauswirtschaftlichen Bereich reduzieren und ihnen eine möglichst vollständige und unabhängige Erledigung der Haushaltsarbeiten ermöglichen. Kann die versicherte Person wegen ihrer Beeinträchtigung gewisse Haushaltsarbeiten nurmehr mühsam und mit viel höherem Zeitaufwand erledigen, so muss sie in erster Linie ihre Arbeit entsprechend gliedern, wobei sie die durch den gesundheitsbedingten Wechsel von der früheren ausserhäuslichen Erwerbstätigkeit gewonnene Zeit auf die Aufgaben im Haushalt zu verwenden hat (Urteil [des Eidg. Versicherungsgerichts] I 407/92 vom 8. November 1993 E. 2c), sowie in üblichem Umfang die Mithilfe von Familienangehörigen in Anspruch nehmen. Die dabei schadenmindernd zu berücksichtigende Unterstützung von Familienmitgliedern - hier des Ehemannes der Beschwerdeführerin - geht weiter als der ohne Gesundheitsschädigung üblicherweise zu erwartende Support ( BGE 133 V 504 E. 4.2 S. 509 f. mit diversen Hinweisen). Der primär von den durch die MEDAS als nicht länger zumutbar beurteilten Verrichtungen betroffene Haushaltsbereich "Wohnungspflege" wurde anlässlich der Erhebungen vor Ort bereits mit einer 20%igen Einschränkung eingestuft, welcher Beurteilung die Versicherte in der Folge nicht opponierte (vgl. Stellungnahmen vom 19. März und 22. August 2008). Anhaltspunkte für weitergehende Einschränkungen im häuslichen Tätigkeitsfeld sind sodann insbesondere auch den Berichten der neuropsychologischen Abteilung des Spitals X.________ vom 8. September 2006 und 23. April 2007 nicht zu entnehmen. Die beantragte Rückweisung der Sache an die Beschwerdegegnerin zur Vornahme erneuter Abklärungen im Haushalt erübrigt sich vor diesem Hintergrund (antizipierte Beweiswürdigung; BGE 131 I 153 E. 3 S. 157; 124 V 90 E. 4b S. 94; Urteil I 9/07 vom 9. Februar 2007 E. 4, in: SVR 2007 IV Nr. 45 S. 149).</w:t>
      </w:r>
    </w:p>
    <w:p>
      <w:r>
        <w:rPr>
          <w:b/>
        </w:rPr>
        <w:t>E. 5.1</w:t>
      </w:r>
    </w:p>
    <w:p>
      <w:r>
        <w:t>Die offensichtlich unbegründete Beschwerde wird im vereinfachten Verfahren nach Art. 109 Abs. 2 lit. a BGG - ohne Durchführung des Schriftenwechsels, mit summarischer Begründung und unter Verweis auf den kantonalen Entscheid ( Art. 102 Abs. 1 und Art. 109 Abs. 3 BGG ) - abgewiesen.</w:t>
      </w:r>
    </w:p>
    <w:p>
      <w:r>
        <w:rPr>
          <w:b/>
        </w:rPr>
        <w:t>E. 5.2</w:t>
      </w:r>
    </w:p>
    <w:p>
      <w:r>
        <w:t>Dem Prozessausgang entsprechend sind die Gerichtskosten der Beschwerdeführerin aufzuerlegen ( Art. 65 Abs. 4 lit. a und Art. 66 Abs. 1 Satz 1 BGG ). Ihrem Gesuch um unentgeltliche Prozessführung und Verbeiständung kann infolge Aussichtslosigkeit der Rechtsvorkehr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