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8C_440/2008 vom 6. Februar 2009</w:t>
      </w:r>
    </w:p>
    <w:p>
      <w:r>
        <w:t>Bundesgericht, 2009-02-06, FR</w:t>
      </w:r>
    </w:p>
    <w:p>
      <w:r>
        <w:rPr>
          <w:b/>
        </w:rPr>
        <w:t xml:space="preserve">Quelle: </w:t>
      </w:r>
      <w:r>
        <w:t>https://mcp.opencaselaw.ch/entscheid/bger_8C_440_2008</w:t>
      </w:r>
    </w:p>
    <w:p>
      <w:r>
        <w:t>FR: TF 8C_440/2008 du 6 février 2009</w:t>
      </w:r>
    </w:p>
    <w:p>
      <w:r>
        <w:t>IT: TF 8C_440/2008 del 6 febbraio 2009</w:t>
      </w:r>
    </w:p>
    <w:p>
      <w:pPr>
        <w:pStyle w:val="Heading2"/>
      </w:pPr>
      <w:r>
        <w:t>Erwägungen</w:t>
      </w:r>
    </w:p>
    <w:p>
      <w:r>
        <w:rPr>
          <w:b/>
        </w:rPr>
        <w:t>E. 1</w:t>
      </w:r>
    </w:p>
    <w:p>
      <w:r>
        <w:t>Comme l'a jugé le Tribunal fédéral dans un arrêt récent ( ATF 134 V 53 consid. 2.3.4 p. 60), le SPC n'a pas la qualité pour former un recours en matière de droit public pour ce qui est des prestations complémentaires prévues par le droit cantonal. C'est donc à raison que le recourant a limité ses conclusions aux prestations complémentaires fédérales.</w:t>
      </w:r>
    </w:p>
    <w:p>
      <w:r>
        <w:rPr>
          <w:b/>
        </w:rPr>
        <w:t>E. 2</w:t>
      </w:r>
    </w:p>
    <w:p>
      <w:r>
        <w:t>Le recours peut être interjeté pour violation du droit, tel qu'il est délimité par les art. 95 et 96 LTF . Le Tribunal fédéral statue en principe sur la base des faits établis par l'autorité précédente ( art. 105 al. 1 LTF ), sauf s'ils ont été constatés en violation du droit au sens de l' art. 95 LTF ou de manière manifestement inexacte ( art. 97 al. 1 LTF ).</w:t>
      </w:r>
    </w:p>
    <w:p>
      <w:r>
        <w:rPr>
          <w:b/>
        </w:rPr>
        <w:t>E. 3</w:t>
      </w:r>
    </w:p>
    <w:p>
      <w:r>
        <w:t>Selon l' art. 3c al. 1 let . g LPC, - en vigueur et applicable en l'occurrence ( ATF 127 V 466 consid. 1 p. 467) - jusqu'au 31 décembre 2007, les revenus déterminants comprennent les ressources et parts de fortune dont un ayant droit s'est dessaisi. Cette disposition est directement applicable lorsque le conjoint d'une personne assurée s'abstient de mettre en valeur sa capacité de gain, alors qu'il pourrait se voir obligé d'exercer une activité lucrative en vertu de l' art. 163 CC .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w:t>
      </w:r>
    </w:p>
    <w:p>
      <w:r>
        <w:rPr>
          <w:b/>
        </w:rPr>
        <w:t>E. 4.1</w:t>
      </w:r>
    </w:p>
    <w:p>
      <w:r>
        <w:t>En substance, les premiers juges ont retenu que l'état de santé de K.________ n'avait fait qu'empirer depuis la date de l'accident, raison pour laquelle son épouse avait dû mettre fin à son activité de couturière. Ils en ont déduit qu'il n'y avait aucun motif de considérer l'inactivité professionnelle de celle-ci comme une renonciation à des ressources au sens de l' art. 3c al. 1 let . g LPC. Ils ont par ailleurs rejeté la thèse de l'administration selon laquelle la nécessité d'une présence continue de l'épouse aux côtés d'un assuré ne pourrait être admise que si ce dernier s'est vu allouer une allocation pour impotence de l'assurance-invalidité.</w:t>
      </w:r>
    </w:p>
    <w:p>
      <w:r>
        <w:rPr>
          <w:b/>
        </w:rPr>
        <w:t>E. 4.2</w:t>
      </w:r>
    </w:p>
    <w:p>
      <w:r>
        <w:t>Le SPC soutient au contraire que le lien étroit existant entre l'assurance-invalidité (AI) et la LPC impose que les conséquences d'une invalidité reconnue par la première soient appréciées de la même manière par la seconde. Dans le cas d'espèce, du moment que l'état de santé de l'intimé ne motivait pas le versement d'une allocation d'impotent par l'AI, il fallait nier le caractère indispensable de la présence de l'épouse à la maison et admettre que celle-ci était en mesure de contribuer à l'entretien de la famille par l'exercice d'une activité lucrative. Il était au surplus douteux, à la lecture des pièces versées au dossier, que cette présence réponde véritablement à une nécessité médicale.</w:t>
      </w:r>
    </w:p>
    <w:p>
      <w:r>
        <w:rPr>
          <w:b/>
        </w:rPr>
        <w:t>E. 4.3</w:t>
      </w:r>
    </w:p>
    <w:p>
      <w:r>
        <w:t>Quant à l'intimé, il considère que l'autorité cantonale a reconnu à juste titre la gravité de son état de santé psychique et le fait que son épouse contribuait de manière satisfaisante à son obligation de participer à l'entretien de la famille par les soins qu'elle lui apportait ainsi qu'à leurs enfants.</w:t>
      </w:r>
    </w:p>
    <w:p>
      <w:r>
        <w:rPr>
          <w:b/>
        </w:rPr>
        <w:t>E. 5.1</w:t>
      </w:r>
    </w:p>
    <w:p>
      <w:r>
        <w:t>En l'occurrence, la manière de voir du recourant reviendrait à restreindre l'octroi de prestations complémentaires aux couples dans le besoin dont le conjoint est invalide et impotent au sens de l'AI, et ne trouve de fondement ni dans la loi ni dans la jurisprudence. On rappellera que c'est en tenant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Comme cela ressort de la jurisprudence précitée, qui a été plusieurs fois confirmée depuis lors, cette exigibilité doit être appréciée en fonction de plusieurs facteurs, en particulier liés à la situation personnelle et sociale de l'épouse concernée, et en accord avec les principes du droit de la famille. Elle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w:t>
      </w:r>
    </w:p>
    <w:p>
      <w:r>
        <w:rPr>
          <w:b/>
        </w:rPr>
        <w:t>E. 5.2</w:t>
      </w:r>
    </w:p>
    <w:p>
      <w:r>
        <w:t>Cela étant, on doit donner raison au recourant sur l'absence d'éléments probants en ce qui concerne la nécessité d'une surveillance personnelle et constante de l'intimé en raison de ses troubles psychiques. Pour arriver à la conclusion que K.________ ne pouvait être laissé sans surveillance que de brefs instants, l'autorité cantonale s'est contentée d'affirmer que la gravité de l'état de santé du prénommé était établie sans se livrer à une appréciation, ne serait-ce que sommaire, des certificats médicaux produits et des allégations de l'épouse sur ce point. Or, il s'agit d'une qualification qui ne dit encore rien quant aux conséquences concrètes des atteintes diagnostiquées chez l'intimé sur la capacité ou non de celui-ci à vivre sans la surveillance permanente d'une tierce personne, ni le cas échéant sur le degré de cette capacité. Il n'appartient cependant pas au Tribunal fédéral de rectifier ou de compléter des faits qui n'auraient pas du tout été constatés par la juridiction cantonale ( art. 105 al. 2 LTF ). On relèvera au surplus que les médecins traitants de l'intimé n'ont fourni que des indications toutes générales et vagues sur la situation médicale de leur patient et les raisons qui les ont amenés à attester que l'état psychique de K.________ rendait nécessaire la présence et l'assistance constante de son épouse, de sorte qu'on peut douter que leurs avis suffisent même à trancher la question litigieuse.</w:t>
      </w:r>
    </w:p>
    <w:p>
      <w:r>
        <w:rPr>
          <w:b/>
        </w:rPr>
        <w:t>E. 6.1</w:t>
      </w:r>
    </w:p>
    <w:p>
      <w:r>
        <w:t>Quoi qu'il en soit, il convient d'annuler le jugement attaqué, dans la mesure où il concerne les prestations complémentaires fédérales, et de renvoyer la cause à la juridiction cantonale pour qu'elle établisse les faits déterminants, au besoin en les complétant après des mesures d'instruction supplémentaires, et qu'elle rende un nouveau jugement.</w:t>
      </w:r>
    </w:p>
    <w:p>
      <w:r>
        <w:rPr>
          <w:b/>
        </w:rPr>
        <w:t>E. 6.2</w:t>
      </w:r>
    </w:p>
    <w:p>
      <w:r>
        <w:t>S'agissant des prestations complémentaires de droit cantonal, en revanche, le jugement cantonal est entré en force. Dès lors que le chiffre 4 du dispositif condamne le SPC à verser à l'intimé une indemnité de dépens de 1'750 fr. et que le jugement cantonal n'est que partiellement annulé, il appartiendra à la juridiction cantonale de fixer les dépens pour la part du jugement qui reste en force.</w:t>
      </w:r>
    </w:p>
    <w:p>
      <w:r>
        <w:rPr>
          <w:b/>
        </w:rPr>
        <w:t>E. 7</w:t>
      </w:r>
    </w:p>
    <w:p>
      <w:r>
        <w:t>Compte tenu de l'issue du litige, les frais judiciaires sont mis à la charge de l'intimé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