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8C_438/2025 vom 29. Januar 2026</w:t>
      </w:r>
    </w:p>
    <w:p>
      <w:r>
        <w:t>Bundesgericht, 2026-01-29, DE</w:t>
      </w:r>
    </w:p>
    <w:p>
      <w:r>
        <w:rPr>
          <w:b/>
        </w:rPr>
        <w:t xml:space="preserve">Quelle: </w:t>
      </w:r>
      <w:r>
        <w:t>https://mcp.opencaselaw.ch/entscheid/bger_8C_438_2025</w:t>
      </w:r>
    </w:p>
    <w:p>
      <w:r>
        <w:t>FR: TF 8C_438/2025 du 29 janvier 2026</w:t>
      </w:r>
    </w:p>
    <w:p>
      <w:r>
        <w:t>IT: TF 8C_438/2025 del 29 gennaio 2026</w:t>
      </w:r>
    </w:p>
    <w:p>
      <w:pPr>
        <w:pStyle w:val="Heading2"/>
      </w:pPr>
      <w:r>
        <w:t>Erwägungen</w:t>
      </w:r>
    </w:p>
    <w:p>
      <w:r>
        <w:rPr>
          <w:b/>
        </w:rPr>
        <w:t>E. 1</w:t>
      </w:r>
    </w:p>
    <w:p>
      <w:r>
        <w:t>Aktenmässig erstellt und unbestritten ist, dass die verfahrensleitende Verfügung vom 3. Juli 2025 dem Beschwerdeführer am 4. Juli 2025 zugestellt worden ist.</w:t>
      </w:r>
    </w:p>
    <w:p>
      <w:r>
        <w:rPr>
          <w:b/>
        </w:rPr>
        <w:t>E. 2</w:t>
      </w:r>
    </w:p>
    <w:p>
      <w:r>
        <w:t>Die nach Art. 100 Abs. 1 BGG 30-tägige Rechtsmittelfrist gegen die verfahrensleitende Verfügung vom 3. Juli 2025 hat gemäss Art. 44 Abs. 1 BGG am Folgetag der Verfügungseröffnung zu laufen begonnen und stand gemäss Art. 46 Abs. 1 lit. a BGG vom 15. Juli bis und mit dem 15. August still. Folgedessen war die Verfügung im Zeitpunkt des vorinstanzlichen Nichteintretens vom 22. Juli 2025 noch gar nicht in Rechtskraft erwachsen (vgl. BGE 138 II 169 E. 3.3) bzw. die Zahlungsfrist von 10 Tagen ab Rechtskraft hatte noch gar nicht zu laufen begonnen. Damit erweist sich das vorinstanzliche Nichteintreten auf die Beschwerde wegen Nichtleistens des Kostenvorschusses innert gesetzter Frist als bundesrechtwidrig. Dies führt zur Aufhebung des angefochtenen Nichteintretensurteils vom 22. Juli 2025 und zwar ungeachtet dessen, ob die Zahlungsfrist allenfalls zwischenzeitig abgelaufen ist. Denn Tatsachen, die sich erst nach dem angefochtenen Urteil ereignen oder entstehen, können und dürfen im bundesgerichtlichen Beschwerdeverfahren keine Berücksichtigung finden ( BGE 149 III 465 E. 5.5.1 mit Hinweisen). Das kantonale Gericht wird in der Angelegenheit neu zu befinden haben.</w:t>
      </w:r>
    </w:p>
    <w:p>
      <w:r>
        <w:rPr>
          <w:b/>
        </w:rPr>
        <w:t>E. 3</w:t>
      </w:r>
    </w:p>
    <w:p>
      <w:r>
        <w:t>Da sich die Beschwerde als offensichtlich begründet erweist, wird sie im vereinfachten Verfahren nach Art. 109 Abs. 2 lit. b und Abs. 3 BGG erledigt.</w:t>
      </w:r>
    </w:p>
    <w:p>
      <w:r>
        <w:rPr>
          <w:b/>
        </w:rPr>
        <w:t>E. 4</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