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8C_437/2015 vom 5. September 2015</w:t>
      </w:r>
    </w:p>
    <w:p>
      <w:r>
        <w:t>Bundesgericht, 2015-09-05, DE</w:t>
      </w:r>
    </w:p>
    <w:p>
      <w:r>
        <w:rPr>
          <w:b/>
        </w:rPr>
        <w:t xml:space="preserve">Quelle: </w:t>
      </w:r>
      <w:r>
        <w:t>https://mcp.opencaselaw.ch/entscheid/bger_8C_437_2015</w:t>
      </w:r>
    </w:p>
    <w:p>
      <w:r>
        <w:t>FR: TF 8C_437/2015 du 5 septembre 2015</w:t>
      </w:r>
    </w:p>
    <w:p>
      <w:r>
        <w:t>IT: TF 8C_437/2015 del 5 settembre 2015</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w:t>
      </w:r>
    </w:p>
    <w:p>
      <w:r>
        <w:rPr>
          <w:b/>
        </w:rPr>
        <w:t>E. 2</w:t>
      </w:r>
    </w:p>
    <w:p>
      <w:r>
        <w:t>Streitig ist einzig, ob das psychische Leiden in Form einer posttraumatischen Belastungsstörung in einem adäquat kausalen Zusammenhang zum Ereignis vom 21. Mai 2012 steht, nachdem sich der Beschwerdeführer zum Zeitpunkt des Fallabschlusses nicht äussert.</w:t>
      </w:r>
    </w:p>
    <w:p>
      <w:r>
        <w:t>Das kantonale Gericht hat die für die Beurteilung massgebenden Rechtsgrundlagen, insbesondere die Grundsätze zu dem für die Leistungspflicht des Unfallversicherers vorausgesetzten natürlichen Kausalzusammenhang zwischen dem Unfall und dem eingetretenen Schaden (Krankheit, Invalidität; Tod; BGE 129 V 177 E. 3.1 S. 181 mit Hinweisen) sowie zum Erfordernis des adäquaten Kausalzusammenhangs im Allgemeinen ( BGE 129 V 177 E. 3.2 S. 181 mit Hinweis) und bei psychischen Unfallfolgen im Besonderen ( BGE 115 V 133 ) zutreffend dargelegt, worauf verwiesen wird.</w:t>
      </w:r>
    </w:p>
    <w:p>
      <w:r>
        <w:rPr>
          <w:b/>
        </w:rPr>
        <w:t>E. 3.1</w:t>
      </w:r>
    </w:p>
    <w:p>
      <w:r>
        <w:t>Die Vorinstanz gelangte zum Schluss, der Kausalzusammenhang sei nicht im Sinne der Rechtsprechung ( BGE 115 V 133 ) adäquat und damit nicht rechtsgenüglich, da keines der massgebenden Kriterien in besonders ausgeprägter oder auffallender Weise gegeben sei und auch nicht drei der massgebenden Kriterien vorlägen. Sie stufte das Ereignis mit der SUVA als höchstens mittelschwer im engeren Sinn ein. Von den weiter zu prüfenden, objektiv fassbaren und unmittelbar mit dem Unfall in Zusammenhang stehenden oder als Folge davon erscheinenden Umständen, welche als massgebende Kriterien in die Gesamtwürdigung einzubeziehen sind, sei dasjenige der körperlichen Dauerschmerzen gegeben. Offen gelassen hat das kantonale Gericht, ob aufgrund der erheblichen Verletzungen das Kriterium der Schwere oder besondere Art der erlittenen Verletzungen, insbesondere ihre Eignung, psychische Fehlentwicklungen auszulösen, vorliegen würde.</w:t>
      </w:r>
    </w:p>
    <w:p>
      <w:r>
        <w:rPr>
          <w:b/>
        </w:rPr>
        <w:t>E. 3.2</w:t>
      </w:r>
    </w:p>
    <w:p>
      <w:r>
        <w:t>Der Beschwerdeführer geht dem entgegen von einem schweren Unfallgeschehen aus, womit die adäquate Kausalität ohne Weiteres zu bejahen sei. Bei der Annahme eines Unfalls im mittleren Bereich wären seiner Ansicht nach die Kriterien der besonders dramatischen Begleitumstände oder der besonderen Eindrücklichkeit, der Dauerschmerzen und der erheblichen Verletzungen, die geeignet sind eine psychische Fehlentwicklung auszulösen, gegeben, was ebenfalls zur Bejahung der Adäquanz führen würde.</w:t>
      </w:r>
    </w:p>
    <w:p>
      <w:r>
        <w:rPr>
          <w:b/>
        </w:rPr>
        <w:t>E. 3.3</w:t>
      </w:r>
    </w:p>
    <w:p>
      <w:r>
        <w:t>Eine spezielle Adäquanzprüfung verlangt - unabhängig davon, ob diese nach BGE 115 V 133 oder nach BGE 134 V 109 erfolgt - zunächst eine Qualifikation des Unfallereignisses nach seiner Schwere. Die Schwere des Unfalls bestimmt sich dabei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 Immerhin können die erlittenen Verletzungen aber Rückschlüsse auf die Kräfte, die sich beim Unfall entwickelt haben, gestatten (SVR 2009 UV Nr. 57 S. 203, 8C_77/2009 E. 4.1.1).</w:t>
      </w:r>
    </w:p>
    <w:p>
      <w:r>
        <w:rPr>
          <w:b/>
        </w:rPr>
        <w:t>E. 3.4</w:t>
      </w:r>
    </w:p>
    <w:p>
      <w:r>
        <w:t>Der genaue Geschehensablauf des Ereignisses vom 21. Mai 2012 lässt sich nicht rekonstruieren. Fest steht jedoch, dass sich der Beschwerdeführer bei laufender Anlage in den Gefahrenbereich der Aufwickeleinheit der Spaltanlage begab, um, eigenen Angaben gemäss, eine Kontrolle des Bandes durchzuführen. Dabei befand er sich so nah an der Aufwickeleinheit, dass seine offene Arbeitsjacke bei der Bandeinzugsstelle von der Anlage erfasst und eingezogen wurde. Dass dabei, wie beschwerdeweise vorgebracht wird, auch seine Arme in die Anlage gerieten, ergibt sich weder aus den erlittenen Verletzungen noch aus den erstellten Unfallrapporten der Polizei und der SUVA. Er verlor daraufhin das Gleichgewicht und stürzte in die darunter liegende, 2,1 Meter tiefe Grube des Coilverschiebewagens; die Absturzkante war ungesichert. Ein in der Nähe beschäftigter Arbeitskollege stellte die Anlage ab, nachdem er wegen der Schreie des Versicherten herbeigeeilt war. Das Unfallgeschehen hat niemand beobachtet. Die seitliche Tasche der Jacke befand sich nach dem Unfall als abgerissener Teil im aufgewickelten äussersten Spaltring (Coil; SUVA-Unfallrapport vom 22. August 2012; Polizeibericht vom 12. Juni 2012).</w:t>
      </w:r>
    </w:p>
    <w:p>
      <w:r>
        <w:rPr>
          <w:b/>
        </w:rPr>
        <w:t>E. 3.5</w:t>
      </w:r>
    </w:p>
    <w:p>
      <w:r>
        <w:t>Praxisgemäss werden Stürze aus einer Höhe zwischen etwa zwei (vgl. Urteil U 410/00 vom 14. Februar 2002 E. 2c) und etwa vier Metern (vgl. Urteil 8C_316/2009 vom 8. Juni 2009) in die Tiefe noch als im engeren Sinne mittelschwere Unfälle qualifiziert (siehe Urteil 8C_496/2014 vom 21. November 2014 mit weiteren Hinweisen). Der Versicherte bringt nichts vor, was es rechtfertigen würde, hiervon abzuweichen. Dies auch im Hinblick auf die geltend gemachten grossen Kräfte, die sich beim Unfall entwickelt hätten. Mit der Vorinstanz ist somit von einem im engeren Sinne mittelschweren Unfall auszugehen. Die Adäquanz eines allfälligen Kausalzusammenhanges zwischen dem Unfallereignis vom 21. Mai 2012 und den psychischen Beschwerden wäre damit lediglich dann zu bejahen, wenn eines der massgebenden Kriterien ausgeprägt erfüllt wäre oder drei der Kriterien vorliegen würden.</w:t>
      </w:r>
    </w:p>
    <w:p>
      <w:r>
        <w:rPr>
          <w:b/>
        </w:rPr>
        <w:t>E. 3.6.1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(in BGE 135 I 169 nicht publ. E. 7.2 des Urteils 8C_807/2008 vom 15. Juni 2009; Urteil 8C_587/2011 vom 23. Dezember 2011 E. 9.3.1 mit Hinweisen).</w:t>
      </w:r>
    </w:p>
    <w:p>
      <w:r>
        <w:rPr>
          <w:b/>
        </w:rPr>
        <w:t>E. 3.6.2</w:t>
      </w:r>
    </w:p>
    <w:p>
      <w:r>
        <w:t>Auch wenn sich die seitliche Tasche der Arbeitsjacke in der laufenden Anlage verfing, ist der Unfall nicht als hinreichend eindrücklich zu betrachten oder besonders dramatische Begleitumstände auszumachen, um dieses Kriterien bejahen zu können. Ob der Beschwerdeführer den Unfall als lebensbedrohlich einstufte, ändert daran mit Blick auf die anzuwendende objektive Betrachtungsweise nichts.</w:t>
      </w:r>
    </w:p>
    <w:p>
      <w:r>
        <w:rPr>
          <w:b/>
        </w:rPr>
        <w:t>E. 3.7</w:t>
      </w:r>
    </w:p>
    <w:p>
      <w:r>
        <w:t>Nach Lage der Akten zu Recht nicht geltend gemacht werden die Kriterien der ungewöhnlich langen Dauer der ärztlichen Behandlung, der ärztlichen Fehlbehandlung, welche die Unfallfolgen erheblich verschlimmert, des schwierigen Heilungsverlaufs, der erheblichen Komplikationen sowie des Grads und der Dauer der physisch bedingten Arbeitsunfähigkeit. Damit kann offen bleiben, ob eine besondere Art der Verletzung und Dauerschmerzen bestehen, denn auf alle Fälle liegt keines dieser beiden Kriterien besonders ausgeprägt vor, womit maximal zwei Kriterien, jedoch nicht qualifiziert, erfüllt sind. Mit dem kantonalen Gericht ist zusammenfassend der adäquate Kausalzusammenhang zwischen dem Unfall vom 21. Mai 2012 und den psychischen Beeinträchtigungen zu verneinen. Damit entfällt dafür eine Leistungspflicht der Beschwerdegegnerin. Nachdem die SUVA für das psychische Leiden mangels adäquaten Kausalzusammenhangs nicht einzustehen hat, erübrigen sich die vom Beschwerdeführer beantragten medizinischen Abklärungen.</w:t>
      </w:r>
    </w:p>
    <w:p>
      <w:r>
        <w:rPr>
          <w:b/>
        </w:rPr>
        <w:t>E. 4</w:t>
      </w:r>
    </w:p>
    <w:p>
      <w:r>
        <w:t>Dem Verfahrensausgang entsprechend sind die Gerichtskosten vom Beschwerdeführer als unterliegender Partei zu tragen ( Art. 66 Abs. 1 BGG ). Ihm kann indessen die unentgeltliche Rechtspflege gewährt werden ( Art. 64 BGG ), weil die Bedürftigkeit aktenkundig ist, die Beschwerde nicht als aussichtslos zu bezeichnen und die anwaltliche Vertretung doch geboten war (vgl. BGE 125 V 201 E. 4a S. 202 und 371 E. 5b S. 372). Es ist indessen auf Art. 64 Abs. 4 BGG hinzuweisen, wonach der Gerichtskasse Ersatz zu leisten sein wird, wenn dies später möglich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