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436/2007 vom 16. Juni 2008</w:t>
      </w:r>
    </w:p>
    <w:p>
      <w:r>
        <w:t>Bundesgericht, 2008-06-16, DE</w:t>
      </w:r>
    </w:p>
    <w:p>
      <w:r>
        <w:rPr>
          <w:b/>
        </w:rPr>
        <w:t xml:space="preserve">Quelle: </w:t>
      </w:r>
      <w:r>
        <w:t>https://mcp.opencaselaw.ch/entscheid/bger_8C_436_2007</w:t>
      </w:r>
    </w:p>
    <w:p>
      <w:r>
        <w:t>FR: TF 8C 436/2007 du 16 juin 2008</w:t>
      </w:r>
    </w:p>
    <w:p>
      <w:r>
        <w:t>IT: TF 8C 436/2007 del 16 giugno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Nach Art. 53 Abs. 2 ATSG kann der Versicherungsträger auf formell rechtskräftige Verfügungen oder Einspracheentscheide zurückkommen, wenn diese zweifellos unrichtig sind und ihre Berichtigung von erheblicher Bedeutung ist. Zweifellose Unrichtigkeit liegt vor, wenn kein vernünftiger Zweifel daran möglich ist, dass eine Unrichtigkeit vorliegt (Kieser, ATSG-Kommentar, N 20 zu Art. 53 mit Hinweis auf BGE 125 V 393 ). Das Bundesgericht hat sich zum Begriff der zweifellosen Unrichtigkeit jüngst im Urteil 5/07 vom 9. Januar 2008 geäussert, welches ebenfalls eine Rentenzusprechung bei Folgen eines Autounfalles mit Schleudertrauma betraf. Demnach genügt es für das Rückkommen auf eine formell rechtskräftige Verfügung über sozialversicherungsrechtliche Leistungsansprüche und insbesondere auf die Beurteilung des adäquaten Kausalzusammenhangs sowie der diesbezüglich massgeblichen Kriterien nicht, dass der Sozialversicherungsträger oder das Gericht einfach sein Ermessen an die Stelle desjenigen der ursprünglich verfügenden oder urteilenden Behörde setzt, sofern die damalige Ermessensausübung vertretbar war. Vielmehr muss die neue Ermessensausübung als die klarerweise einzig richtige erscheinen (Urteil U 5/07 vom 9. Januar 2008 E. 5.3.2.2).</w:t>
      </w:r>
    </w:p>
    <w:p>
      <w:r>
        <w:rPr>
          <w:b/>
        </w:rPr>
        <w:t>E. 3</w:t>
      </w:r>
    </w:p>
    <w:p>
      <w:r>
        <w:t>Der Unfallversicherer beruft sich zur Begründung seiner Beschwerde im Wesentlichen darauf, dass in der ursprünglichen Verfügung vom 23. Oktober 2000 die Klärung der Adäquanzfrage einer gesonderten Prüfung bedurft hätte, welche indessen, wenn sie tatsächlich erfolgt wäre, zur Verneinung der Adäquanz hätte führen müssen.</w:t>
      </w:r>
    </w:p>
    <w:p>
      <w:r>
        <w:rPr>
          <w:b/>
        </w:rPr>
        <w:t>E. 4</w:t>
      </w:r>
    </w:p>
    <w:p>
      <w:r>
        <w:t>Dieser Einwand ist nicht stichhaltig. Die Vorinstanz hat einlässlich und richtig dargelegt, dass die Voraussetzungen für die hier streitige Wiedererwägung nicht gegeben waren mangels zweifelloser Unrichtigkeit der damaligen Zusprechung von Rente und Integritätsentschädigung. Diese stützte sich auf die psychiatrische und neurologisch/neuropsychologische Begutachtung der Versicherten durch Dr. med. H.________ vom 4. Juni 1997 und Dr. med. R.________ vom 18. August 1997. Entscheidend ist dabei, dass sich der Gesundheitszustand der Versicherten gestützt auf dieses Gutachtens zuverlässig beurteilen liess und dass die Beschwerdeführerin mit Zusprechung von Rente und Integritätsentschädigung durch Verfügung vom 23. Oktober 2000 ("aufgrund von Art. 18 ff. UVG " und "aufgrund unserer Unterlagen") ihre Leistungspflicht anerkannte und damit implizit auch die Adäquanz der geklagten (psychischen) Beschwerden, welche dafür vorausgesetzt wird, als gegeben erachtet hat. Damit ist ein Zurückkommen auf die unangefochten gebliebene Verfügung vom 23. Oktober 2000 und insbesondere die Beurteilung der Adäquanz unter dem Titel der hier streitigen Wiedererwägung nicht zulässig (vgl. zur rechtskräftigen Verneinung der Adäquanz Urteile U 66/94 vom 4. November 1994, E. 3b, und U 210/00 vom 22. Oktober 2003, E. 3.4.2).</w:t>
      </w:r>
    </w:p>
    <w:p>
      <w:r>
        <w:rPr>
          <w:b/>
        </w:rPr>
        <w:t>E. 5</w:t>
      </w:r>
    </w:p>
    <w:p>
      <w:r>
        <w:t>Das Verfahren ist kostenpflichtig ( Art. 65 BGG ). Die Gerichtskosten werden dem Prozessausgang entsprechend der Beschwerdeführerin auferlegt ( Art. 66 Abs. 1 Satz 1 BGG ); des Weiteren hat sie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