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8C_435/2024 vom 5. September 2024</w:t>
      </w:r>
    </w:p>
    <w:p>
      <w:r>
        <w:t>Bundesgericht, 2024-09-05, DE</w:t>
      </w:r>
    </w:p>
    <w:p>
      <w:r>
        <w:rPr>
          <w:b/>
        </w:rPr>
        <w:t xml:space="preserve">Quelle: </w:t>
      </w:r>
      <w:r>
        <w:t>https://mcp.opencaselaw.ch/entscheid/bger_8C_435_2024</w:t>
      </w:r>
    </w:p>
    <w:p>
      <w:r>
        <w:t>FR: TF 8C_435/2024 du 5 septembre 2024</w:t>
      </w:r>
    </w:p>
    <w:p>
      <w:r>
        <w:t>IT: TF 8C_435/2024 del 5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19. Juni 2024 den Einspracheentscheid der Beschwerdegegnerin vom 15. Januar 2024, mit welchem der Beschwerdeführer gestützt auf Art. 51 Abs. 2 AVIG vom Anspruch auf Insolvenzentschädigung ausgeschlossen wurde. Dies begründete es im Wesentlichen mit der für im Handelsregister eingetragene Mitglieder des Verwaltungsrats der Arbeitgeberin von Gesetzes wegen ( Art. 716-716b OR ) zwingend vorgegebenen massgeblichen Einflussmöglichkeit auf die Unternehmensentscheidungen. Dabei verwies es auf dazu ergangene Urteile des Bundesgerichts (u.a. BGE 145 V 200 E. 4.2 mit Hinweisen).</w:t>
      </w:r>
    </w:p>
    <w:p>
      <w:r>
        <w:rPr>
          <w:b/>
        </w:rPr>
        <w:t>E. 3</w:t>
      </w:r>
    </w:p>
    <w:p>
      <w:r>
        <w:t>Was der Beschwerdeführer dagegen vorträgt, geht nicht über eine letztinstanzlich unzulässige appellatorische Kritik hinaus. Inwiefern die bundesgerichtliche Rechtsprechung, wonach in diesen Fallkonstellationen die konkreten Umstände irrelevant sind, einer Überprüfung bedürfte, legt er nicht näher dar (zu den Anforderungen an eine Rechtsprechungsänderung: BGE 149 II 381 E. 7.3.1; 149 V 177 E. 4.5; 147 V 342 E. 5.5.1 ; 146 I 105 E. 5.2.2; 141 II 297 E. 5.5.1; 140 V 538 E. 4.5; je mit Hinweisen). Bereits die Behauptung, der in der französischen Version von Art. 51 Abs. 2 AVIG verwendete Begriff "membre d'un organe dirigeant de l'entreprise" bedeute auf französisch (allein) "Mitglieder der Geschäftsleitung", lässt den vom Gesetzgeber dabei verwendeten Indefinitartikel "un" unberücksichtigt. Ebenso wenig vermag er mit den von ihm aufgeworfenen Fragen, den andeutungsweise geäusserten Diskriminierungsvorwürfen und pauschalen Unterstellungen an die Adresse von Staatsangestellten den Begründungsanforderungen im bundesgerichtlichen Verfahren (E. 1 hiervor) zu genügen.</w:t>
      </w:r>
    </w:p>
    <w:p>
      <w:r>
        <w:rPr>
          <w:b/>
        </w:rPr>
        <w:t>E. 4</w:t>
      </w:r>
    </w:p>
    <w:p>
      <w:r>
        <w:t>Liegt offensichtlich keine hinreichend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