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435/2021 vom 30. Juni 2021</w:t>
      </w:r>
    </w:p>
    <w:p>
      <w:r>
        <w:t>Bundesgericht, 2021-06-30, DE</w:t>
      </w:r>
    </w:p>
    <w:p>
      <w:r>
        <w:rPr>
          <w:b/>
        </w:rPr>
        <w:t xml:space="preserve">Quelle: </w:t>
      </w:r>
      <w:r>
        <w:t>https://mcp.opencaselaw.ch/entscheid/bger_8C_435_2021</w:t>
      </w:r>
    </w:p>
    <w:p>
      <w:r>
        <w:t>FR: TF 8C 435/2021 du 30 juin 2021</w:t>
      </w:r>
    </w:p>
    <w:p>
      <w:r>
        <w:t>IT: TF 8C 435/2021 del 30 giugno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30.06.2021 8C 435/2021 (8C_435/2021) Tribunal fédéral IIIe Cour de droit public (Ire Cour de droit social) 30.06.2021 8C 435/2021 (8C_435/2021) Tribunale federale III Corte di diritto pubblico (I Corte di diritto sociale) 30.06.2021 8C 435/2021 (8C_435/2021)</w:t>
      </w:r>
    </w:p>
    <w:p>
      <w:r>
        <w:t>Arbeitslosenversicherung (Prozessvoraussetzung) | Arbeitslosenversicherung</w:t>
      </w:r>
    </w:p>
    <w:p>
      <w:r>
        <w:t>Bundesgericht Tribunal fédéral Tribunale federale Tribunal federal 8C_435/2021 Urteil vom 30. Juni 2021 I. sozialrechtliche Abteilung Besetzung Bundesrichter Maillard, Präsident, Gerichtsschreiber Grünvogel. Verfahrensbeteiligte A.________, Beschwerdeführer, gegen Amt für Wirtschaft und Arbeit des Kantons Zürich, Abteilung Arbeitslosenversicherung, Stampfenbachstrasse 32, 8001 Zürich, Beschwerdegegner. Gegenstand Arbeitslosenversicherung (Prozessvoraussetzung), Beschwerde gegen das Urteil des Sozialversicherungsgerichts des Kantons Zürich vom 10. Mai 2021 (AL.2020.00217). Nach Einsicht in die am 9. Juni 2021 handschriftlich unterzeichnete Beschwerde von A.________ vom 26. Mai 2021 (Poststempel) gegen das von ihm gemäss postamtlicher Bescheinigung am 20. Mai 2021 in Empfang genommene Urteil des Sozialversicherungsgerichts des Kantons Zürich vom 10. Mai 2021, in die Mitteilung des Bundesgerichts vom 11. Juni 2021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44-48 BGG am 21. Juni 2021 abgelaufenen Rechtsmittelfrist keine Beschwerdeergänzung erfolgt ist,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Urteils massgeblichen Erwägungen der Vorinstanz einzugehen und im Einzelnen zu zeigen ist, welche Vorschriften und weshalb sie von der Vorinstanz verletzt worden sind ( BGE 134 V 53 E. 3.3 und 133 IV 286 E. 1.4), während rein appellatorische Kritik nicht genügt (vgl. BGE 137 V 57 E. 1.3 und 136 I 65 E. 1.3.1), dass die Vorinstanz im angefochtenen Urteil dargelegt hat, weshalb der vom Beschwerdeführer anbegehrte Erlass der mit Verfügung vom 8. Oktober 2018 rechtskräftig festgelegten Rückerstattungsschuld von Fr. 1665.15 ausgeschlossen ist, dass der Beschwerdeführer darauf nicht ansatzweise eingeht, wenn er unter Verweis auf eine nicht näher spezifizierte angebliche Unachtsamkeit der Beschwerdegegnerin fordert, die Rückerstattungsschuld sei von beiden Parteien zu gleichen Teilen zu tragen, dass die Beschwerde damit den Mindestanforderung nach Art. 42 Abs. 2 BGG offensichtlich nicht genügt, dass deshalb darauf im vereinfachten Verfahren nach Art. 108 Abs. 1 lit. b BGG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Staatssekretariat für Wirtschaft (SECO) schriftlich mitgeteilt. Luzern, 30. Juni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