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8C_434/2015 vom 28. August 2015</w:t>
      </w:r>
    </w:p>
    <w:p>
      <w:r>
        <w:t>Bundesgericht, 2015-08-28, DE</w:t>
      </w:r>
    </w:p>
    <w:p>
      <w:r>
        <w:rPr>
          <w:b/>
        </w:rPr>
        <w:t xml:space="preserve">Quelle: </w:t>
      </w:r>
      <w:r>
        <w:t>https://mcp.opencaselaw.ch/entscheid/bger_8C_434_2015</w:t>
      </w:r>
    </w:p>
    <w:p>
      <w:r>
        <w:t>FR: TF 8C_434/2015 du 28 août 2015</w:t>
      </w:r>
    </w:p>
    <w:p>
      <w:r>
        <w:t>IT: TF 8C_434/2015 del 28 agosto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 Die konkrete Beweiswürdigung ist Sachverhaltsfrage ( BGE 132 V 393 E. 3.2 S. 397; nicht publ. E. 4.1 des Urteils BGE 135 V 254 , veröffentlicht in SVR 2009 IV Nr. 53 S. 164 [9C_204/2009]).</w:t>
      </w:r>
    </w:p>
    <w:p>
      <w:r>
        <w:rPr>
          <w:b/>
        </w:rPr>
        <w:t>E. 2</w:t>
      </w:r>
    </w:p>
    <w:p>
      <w:r>
        <w:t>Der Versicherte bemängelt als Erstes, die Vorinstanz sei auf sein gegen den am angefochtenen Entscheid mitwirkenden Sozialversicherungsrichter D.________ gerichtetes Ausstandsbegehren zu Unrecht nicht eingetreten.</w:t>
      </w:r>
    </w:p>
    <w:p>
      <w:r>
        <w:t>Die Vorinstanz hat richtig erwogen, dass nach einem allgemeinen Grundsatz die Partei, die Kenntnis von einem Ausstandsgrund hat, diesen unverzüglich geltend zu machen hat, da sie andernfalls den Anspruch auf seine spätere Anrufung verwirkt ( BGE 138 I 1 E. 2.2 S. 4: Urteil 8C_258/2014 vom 15. Dezember 2014 E. 6.2). Unverzüglich bedeutet nach der Rechtsprechung ein Geltendmachen des Anspruchs binnen maximal sechs bis sieben Tagen; ein zwei- bis dreiwöchiges Zuwarten ist bereits unzulässig (Urteil 1B_60/2014 vom 1. Mai 2014 E. 2.2). Der Beschwerdeführer hatte von der Mitwirkung des Sozialversicherungsrichters D.________ im kantonalen Verfahren mit dem Erhalt der Verfügung vom 28. Januar 2015 betreffend Abweisung seines Sistierungsbegehrens, die er am 2. Februar 2015 entgegennahm, Kenntnis. Die Vorinstanz stellte in diesem Lichte richtig fest, dass das von ihm erst am 3. März 2015 (Postaufgabe) gestellte Ausstandsbegehren verspätet und damit offensichtlich unzulässig war. Deshalb durfte Sozialversicherungsrichter D.________ am angefochtenen Entscheid mitwirken (vgl. BGE 105 Ib 301 E. 1c S. 304; Pra 1997 Nr. 118 S. 631 E. 3d; SVR 2012 UV Nr. 22 S. 80 E. 3.2 [8C_557/2011]).</w:t>
      </w:r>
    </w:p>
    <w:p>
      <w:r>
        <w:t>Entgegen dem Versicherten ergibt sich weder aus Art. 6 Ziff. 1 EMRK noch aus dem Bundesrecht (vgl. BGE 135 V 94 E. 1 S. 95), dass die Vorinstanz betreffend die Ausstandsfrage einen Zwischenentscheid hätte erlassen müssen.</w:t>
      </w:r>
    </w:p>
    <w:p>
      <w:r>
        <w:rPr>
          <w:b/>
        </w:rPr>
        <w:t>E. 3</w:t>
      </w:r>
    </w:p>
    <w:p>
      <w:r>
        <w:t>Streitig und zu prüfen ist weiter der Anspruch des Versicherten auf berufliche Massnahmen. Die Vorinstanz hat die diesbezüglichen Grundlagen (Art. 7a, Art. 8 Abs. 1, Abs. 3 lit. b IVG), insbesondere über die unter anderem vorausgesetzte subjektive Eingliederungsbreitschaft der versicherten Person (SVR 2005 IV Nr. 30 S. 113 E. 3.3 [I 605/04]; Urteil 9C_474/2013 vom 20. Februar 2014 E. 6.3), richtig dargelegt. Gleiches gilt betreffend das Mahn- und Bedenkzeitverfahren ( Art. 21 Abs. 4 ATSG ; vgl. auch Art. 7b IVG ). Darauf wird verwiesen.</w:t>
      </w:r>
    </w:p>
    <w:p>
      <w:r>
        <w:rPr>
          <w:b/>
        </w:rPr>
        <w:t>E. 3.1</w:t>
      </w:r>
    </w:p>
    <w:p>
      <w:r>
        <w:t>Die Vorinstanz hat in Würdigung der Akten mit einlässlicher Begründung - auf die verwiesen wird - erwogen, der Versicherte habe im massgebenden Zeitraum bis zum Verfügungserlass am 29. Oktober 2014 wiederholt erklärt, er fühle sich nicht arbeits- bzw. eingliederungsfähig. Dies habe er insbesondere kundgetan, nachdem er am 12. März 2014 schriftlich unter Einräumung einer angemessenen Bedenkzeit auf seine Pflicht zur aktiven Mitwirkung und die möglichen nachteiligen Folgen seines Widerstands hingewiesen worden sei; er habe sich danach am 12. Mai 2014 ausdrücklich mit dem Abschluss der Eingliederungsmassnahmen einverstanden erklärt. Entgegen seiner Auffassung sei nicht erkennbar, dass die IV-Stelle die notwendigen Bemühungen im Hinblick auf eine berufliche Eingliederung hätte vermissen lassen. Inwiefern er bei der von ihm postulierten Invalidität von 100 % und beantragten "vollschichtigen" (gemeint ist wohl: ganzen) Rente in der Lage sein wolle, an einer Eingliederungsmassnahme teilzunehmen, sei nicht ersichtlich und von ihm auch nicht aufgezeigt worden. Mangels Eingliederungsbereitschaft sei die Verneinung des Anspruchs auf berufliche Eingliederungsmassnahmen nicht zu beanstanden. Diesem vorinstanzlichen Ergebnis ist beizupflichten.</w:t>
      </w:r>
    </w:p>
    <w:p>
      <w:r>
        <w:rPr>
          <w:b/>
        </w:rPr>
        <w:t>E. 3.2</w:t>
      </w:r>
    </w:p>
    <w:p>
      <w:r>
        <w:t>Der Versicherte wendet im Wesentlichen ein, der Rückschluss der Vorinstanz, er habe Eingliederungsmassnahmen nicht gewollt, weil er die rentenabweisende Verfügung angefochten und eine ganze Rente verlangt habe, verstosse gegen die Rechtsweggarantie. Es könne nicht darauf geschlossen werden, er verzichte auf die Eingliederungsmassnahme, nur weil er seine Rechte im Rentenverfahren wahrnehme. Zudem habe die IV-Stelle nur eine Arbeitsvermittlung durchführen wollen. Es wäre aber wichtig gewesen, sich über eine Umschulung Gedanken zu machen. Die Vorinstanz habe es zu Unrecht abgelehnt, das Verfahren bis zum Abschluss des bundesgerichtlichen Verfahrens betreffend seinen Rentenanspruch zu sistieren. Das Bundesgericht habe diese Sache inzwischen mit Urteil 8C_801/2014 zwecks Anordnung eines polydisziplinären Gutachtens an die IV-Stelle zurückgewiesen. Dieses Gutachten sei geeignet, auch über seine Eingliederungsressourcen Auskunft zu geben. Indem die Vorinstanz es nicht abgewartet habe, habe sie die Rechtsweggarantie ( Art. 6 EMRK ) und den Untersuchungsgrundsatz ( Art. 43 ATSG ) verletzt.</w:t>
      </w:r>
    </w:p>
    <w:p>
      <w:r>
        <w:t>Diese Einwände sind nicht stichhaltig. Denn der Versicherte war bei einer Besprechung mit der IV-Eingliederungsberaterin im Büro seines Rechtsvertreters vom 12. Mai 2014 damit einverstanden, dass die Eingliederungsmassnahmen abgeschlossen würden, weil er sich nicht in der Lage sehe, an solchen teilzunehmen. Dass sich an der diesbezüglichen Einstellung des Versicherten bis zum massgebenden Zeitpunkt des Verfügungserlasses am 29. Oktober 2014 ( BGE 132 V 215 E. 3.1.1 S. 320) etwas geändert hätte, ist nicht ersichtlich und wird auch nicht substanziiert geltend gemacht. Demnach ist es nicht zu beanstanden, dass die Vorinstanz seinen Anspruch auf berufliche Eingliederungsmassnahmen mangels Eingliederungswillens verneinte.</w:t>
      </w:r>
    </w:p>
    <w:p>
      <w:r>
        <w:t>Sollte der Versicherte seine Haltung geändert haben und an einer Eingliederungsmassnahme teilnehmen wollen, kann er sich bei der IV-Stelle wieder anmelden, welche darüber neu zu verfügen hätte (Art. 87 Abs. 2 f. IVV, BGE 130 V 64 E. 2 S. 66). Eine Verletzung der Rechtsweggarantie oder des Untersuchungsgrundsatzes liegt nicht vor.</w:t>
      </w:r>
    </w:p>
    <w:p>
      <w:r>
        <w:rPr>
          <w:b/>
        </w:rPr>
        <w:t>E. 4</w:t>
      </w:r>
    </w:p>
    <w:p>
      <w:r>
        <w:t>Der Versicherte verlangt die unentgeltliche Rechtspflege für das kantonale Verfahren. Angesichts der Aktenlage hat die Vorinstanz zu Recht seine Gewinnaussichten als beträchtlich geringer als die Verlustgefahren eingeschätzt und somit das Gesuch wegen Aussichtslosigkeit der Beschwerde verneint ( Art. 29 Abs. 3 BV ; Art. 61 lit. f ATSG ; BGE 135 I 1 E. 7.1 S. 2; SVR 2014 EL Nr. 8 S. 21 E. 1 [9C_622/2013]; zum Begriff der Aussichtslosigkeit vgl. BGE 138 III 217 E. 2.2.4 S. 218).</w:t>
      </w:r>
    </w:p>
    <w:p>
      <w:r>
        <w:rPr>
          <w:b/>
        </w:rPr>
        <w:t>E. 5</w:t>
      </w:r>
    </w:p>
    <w:p>
      <w:r>
        <w:t>Soweit der Versicherte die Rentenprüfung verlangt, war dies nicht Gegenstand der hier strittigen Verfügung. Diesbezüglich ist auf die Beschwerde somit nicht einzutreten ( BGE 131 V 164 E. 2.1).</w:t>
      </w:r>
    </w:p>
    <w:p>
      <w:r>
        <w:rPr>
          <w:b/>
        </w:rPr>
        <w:t>E. 6</w:t>
      </w:r>
    </w:p>
    <w:p>
      <w:r>
        <w:t>Die Beschwerde wird ohne Durchführung eines Schriftenwechsels erledigt ( Art. 102 Abs. 1 BGG ). Der unterliegende Versicherte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