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434/2007 vom 27. März 2008</w:t>
      </w:r>
    </w:p>
    <w:p>
      <w:r>
        <w:t>Bundesgericht, 2008-03-27, DE</w:t>
      </w:r>
    </w:p>
    <w:p>
      <w:r>
        <w:rPr>
          <w:b/>
        </w:rPr>
        <w:t xml:space="preserve">Quelle: </w:t>
      </w:r>
      <w:r>
        <w:t>https://mcp.opencaselaw.ch/entscheid/bger_8C_434_2007</w:t>
      </w:r>
    </w:p>
    <w:p>
      <w:r>
        <w:t>FR: TF 8C 434/2007 du 27 mars 2008</w:t>
      </w:r>
    </w:p>
    <w:p>
      <w:r>
        <w:t>IT: TF 8C 434/2007 del 27 marzo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Begriff der Invalidität ( Art. 8 ATSG in Verbindung mit Art. 4 Abs. 1 IVG ), zum Anspruch auf eine Invalidenrente ( Art. 28 Abs. 1 IVG ), zur Ermittlung des Invaliditätsgrades bei erwerbstätigen Versicherten nach der Einkommensvergleichsmethode ( Art. 16 ATSG ), zum Zeitpunkt des Rentenbeginns nach Ablauf der einjährigen Wartefrist ( Art. 29 Abs. 1 lit. b IVG ), zum Beweiswert von Arztberichten und medizinischen Gutachten ( BGE 125 V 351 E. 3 S. 352 ff., 122 V 157 E. 1c S. 160 ff.) sowie zu dem im Sozialversicherungsrecht erforderlichen Beweisgrad der überwiegenden Wahrscheinlichkeit ( BGE 126 V 353 E. 5b S. 360, 130 III 321 E. 3.2 u. 3.3 S. 324 f.) zutreffend dargelegt. Darauf wird verwiesen.</w:t>
      </w:r>
    </w:p>
    <w:p>
      <w:r>
        <w:rPr>
          <w:b/>
        </w:rPr>
        <w:t>E. 3</w:t>
      </w:r>
    </w:p>
    <w:p>
      <w:r>
        <w:t>Streitig ist, seit wann sich das psychische Leiden des Beschwerdeführers in rentenrelevantem Ausmass auf die Arbeitsfähigkeit auswirkt. Die Vorinstanz hat die diesbezüglichen Angaben des Dr. med. M.________ in dessen Berichten vom 31. Juli und 8. Dezember 2006 zitiert und einlässlich gewürdigt. Der Arzt betreut den Beschwerdeführer seit dem 24. Juni 2006 und hat erstmals die Diagnose einer paranoiden Schizophrenie gestellt, bestehend seit etwa 30 Jahren. Frühere psychiatrische Behandlungen hat der Beschwerdeführer abgelehnt oder vorzeitig abgebrochen; einzig vom Hausarzt liess er sich medikamentös (mit Antidepressiva) versorgen. Das kantonale Gericht ist zum Schluss gekommen, dass aufgrund des Behandlungsbeginns und der Äusserungen des Psychiaters (es sei "medizinisch hypothetisch" anzunehmen, dass bei dieser Diagnose schon länger eine 100%ige Arbeitsunfähigkeit bestehe bzw. es sei bei der bestehenden Chronifizierung mit ausgeprägter Negativsymptomatik einer paranoiden Schizophrenie gut zu vereinbaren, dass der Beschwerdeführer seit anfangs 2005 zu 100 % arbeitsunfähig sei) es zwar nicht ausgeschlossen beziehungsweise durchaus möglich erscheine, dass der Beschwerdeführer im Zeitpunkt des Erlasses des angefochtenen Einspracheentscheids bereits während eines Jahres zu durchschnittlich mindestens 40 % arbeitsunfähig gewesen sei; überwiegend wahrscheinlich sei es jedoch nicht. Der Beschwerdeführer wendet dagegen ein, dass seine Ansprüche nicht ohne weitere Abklärungen hätten verneint werden dürfen, und rügt eine Verletzung des Untersuchungsgrundsatzes.</w:t>
      </w:r>
    </w:p>
    <w:p>
      <w:r>
        <w:rPr>
          <w:b/>
        </w:rPr>
        <w:t>E. 4.1</w:t>
      </w:r>
    </w:p>
    <w:p>
      <w:r>
        <w:t>Der Untersuchungsgrundsatz zählt zu den in Art. 95 BGG erwähnten bundesrechtlichen Vorschriften. Hat das kantonale Gericht die rechtserheblichen tatsächlichen Feststellungen - wozu der Zeitpunkt des Eintritts der Arbeitsunfähigkeit gehört (Urteil J. vom 7. Dezember 2007, 9C_182/2007, E. 4.1.1) - in Verletzung des Untersuchungsgrundsatzes getroffen, sind sie für das Bundesgericht nicht verbindlich (Urteile I 828/06 vom 5. September 2007, E. 3.2.3, 8C_364/2007 vom 19. November 2007, E. 3.3).</w:t>
      </w:r>
    </w:p>
    <w:p>
      <w:r>
        <w:rPr>
          <w:b/>
        </w:rPr>
        <w:t>E. 4.2</w:t>
      </w:r>
    </w:p>
    <w:p>
      <w:r>
        <w:t>Nach dem im Administrativverfahren vor der IV-Stelle wie auch im kantonalen Sozialversicherungsprozess geltenden Untersuchungsgrundsatz ( Art. 43 Abs. 1, Art. 61 lit. c ATSG )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(Urteile I 828/06 vom 5. September 2007, E. 3.2, 8C_364/2007 vom 19. November 2007, E. 3.2).</w:t>
      </w:r>
    </w:p>
    <w:p>
      <w:r>
        <w:rPr>
          <w:b/>
        </w:rPr>
        <w:t>E. 4.3</w:t>
      </w:r>
    </w:p>
    <w:p>
      <w:r>
        <w:t>Den Angaben des Psychiaters, welche einen Monat beziehungsweise knapp sechs Monate nach Behandlungsbeginn (im Juni 2006) datieren, ist zu entnehmen, dass er die psychische Störung des Beschwerdeführers als so gravierend erachtete, dass nicht nur aktuell, sondern ("hochhypothetisch") schon seit längerem eine vollständige Arbeitsunfähigkeit bestand. Schon beim Erstgespräch habe eine ausgeprägte paranoide Symptomatik vorgelegen. Zwar ist damit nicht mit überwiegender Wahrscheinlichkeit erstellt, dass der Beschwerdeführer zum Zeitpunkt des Einspracheentscheides vom 10. November 2006 schon seit einem Jahr in erheblichem Mass in der Arbeitsfähigkeit eingeschränkt war, wobei für die Eröffnung der Wartezeit gemäss Art. 29 Abs. 1 lit. b IVG jedenfalls ein Behinderungsgrad von 25 % bereits genügt ( BGE 104 V 191 E. a, 96 V 34 ff., insbesondere 40). Indessen ist anzunehmen, dass psychiatrischerseits darüber näher Auskunft gegeben werden kann, sobald eine eingehende Krankheitsanamnese erfolgt ist. Es hätten somit weitere diesbezügliche Abklärungen getroffen werden können und müssen. Die Verwaltung wird dies nachzuholen haben. Dabei wird in erster Linie der behandelnde Psychiater zu befragen, jedoch weiter zu beachten sein, dass (Verlaufs-)Berichte der behandelnden (Spezial-)Ärztinnen und Ärzte im Hinblick auf die Verschiedenheit von Behandlungs-/Therapieauftrag einerseits und Begutachtungsauftrag andererseits nicht als medizinische Administrativgutachten gelten können. Dies heisst nicht, dass die IV-Stelle in jedem Fall ein internes versicherungsärztliches oder ein externes Administrativgutachten einzuholen hätte. Der Verzicht auf Beweisweiterungen und das alleinige Abstellen auf die Berichte der behandelnden Ärztinnen und Ärzte sind jedoch nur zulässig, wenn diese ein stimmiges und vollständiges Bild des Gesundheitszustandes abgeben (Urteil I 86/07 vom 29. März 2007,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