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432/2017 vom 19. September 2017</w:t>
      </w:r>
    </w:p>
    <w:p>
      <w:r>
        <w:t>Bundesgericht, 2017-09-19, DE</w:t>
      </w:r>
    </w:p>
    <w:p>
      <w:r>
        <w:rPr>
          <w:b/>
        </w:rPr>
        <w:t xml:space="preserve">Quelle: </w:t>
      </w:r>
      <w:r>
        <w:t>https://mcp.opencaselaw.ch/entscheid/bger_8C_432_2017</w:t>
      </w:r>
    </w:p>
    <w:p>
      <w:r>
        <w:t>FR: TF 8C 432/2017 du 19 septembre 2017</w:t>
      </w:r>
    </w:p>
    <w:p>
      <w:r>
        <w:t>IT: TF 8C 432/2017 del 19 settembre 2017</w:t>
      </w:r>
    </w:p>
    <w:p>
      <w:pPr>
        <w:pStyle w:val="Heading2"/>
      </w:pPr>
      <w:r>
        <w:t>Regeste</w:t>
      </w:r>
    </w:p>
    <w:p>
      <w:r>
        <w:t>Invalidenversicherung (Revision)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Rentenaufhebung auf Ende des der Zustellung der Verfügung vom vom 18. November 2015 folgenden Monats bestätigte, oder ob die Rente auf dieses Datum hin zu erhöhen gewesen wäre.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 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in umfassender Würdigung der medizinischen Akten für das Bundesgericht grundsätzlich verbindlich festgestellt, dass sich der Gesundheitszustand des Versicherten seit der ursprünglichen Rentenzusprache erheblich verbessert hat, und er nunmehr in der Lage ist, einer angepassten Tätigkeit zu 80 % nachzugehen. Was der Versicherte gegen diese Feststellungen vorbringt, vermag sie - wie nachstehende Erwägungen zeigen - nicht als bundesrechtswidrig erscheinen zu lassen.</w:t>
      </w:r>
    </w:p>
    <w:p>
      <w:r>
        <w:rPr>
          <w:b/>
        </w:rPr>
        <w:t>E. 4.2</w:t>
      </w:r>
    </w:p>
    <w:p>
      <w:r>
        <w:t>Soweit der Beschwerdeführer geltend macht, das ABI-Gutachten vom 29. Dezember 2014 weise "eklatante und objektive Mängel" auf, legt er nicht in einer Art. 42 Abs. 2 BGG genügender Weise dar, worin diese bestehen sollten. Entgegen seinen Ausführungen stellt dieses Gutachten auch nicht eine bloss abweichende Würdigung eines im Wesentlichen gleich gebliebenen Sachverhalts dar, bestätigen doch die Experten des ABI die tiefere Einschätzung der Arbeitsfähigkeit durch die Vorgutachter für jenen Zeitpunkt nachvollziehbar und gehen somit von einer Verbesserung des Gesundheitszustandes aus. Zudem stehen die Ausführungen des Versicherten, in denen er eine Veränderung des Gesundheitszustandes bestreitet, in einem offenen Widerspruch zu seinem Antrag, der nicht bloss auf Weiterausrichtung der bisherigen halben Rente, sondern auf eine Erhöhung auf eine ganze Rente lautet.</w:t>
      </w:r>
    </w:p>
    <w:p>
      <w:r>
        <w:rPr>
          <w:b/>
        </w:rPr>
        <w:t>E. 4.3</w:t>
      </w:r>
    </w:p>
    <w:p>
      <w:r>
        <w:t>Gemäss den Feststellungen des kantonalen Gerichts attestierten die behandelnden Fachpersonen Dr. med. B.________, Facharzt FMH für Kinder- und Jugendpsychiatrie und lic. phil. C.________, Fachpsychologe für Psychotherapie FSP, dem Versicherten eine seit Januar 2011 anhaltende 100%igen Arbeitsunfähigkeit. In ihrem neusten Verlaufsbericht vom 27. Dezember 2016 werden weiterhin keine konkreten Indizien benannt, welche gegen die Schlüssigkeit der Folgerungen der Gutachter des ABI sprechen würden (vgl. BGE 135 V 465 E. 4.4 S. 470). Vor diesem Hintergrund und in Berücksichtigung des Umstandes, dass das kantonale Gericht die vom Gutachter abweichende Einschätzung der behandelnden Fachpersonen in deren früheren Berichten zur Kenntnis genommen und gewürdigt hat, erscheint eine explizite Auseinandersetzung der Vorinstanz mit dem erwähnten Verlaufsbericht als entbehrlich, so dass der angefochtene Entscheid nicht bereits aus formellen Gründen aufzuheben ist (vgl. zum Umfang der vorinstanzlichen Begründungspflicht auch SVR 2015 KV Nr. 8 S. 29, 9C_535/2014 E. 3 mit weiteren Hinweisen).</w:t>
      </w:r>
    </w:p>
    <w:p>
      <w:r>
        <w:rPr>
          <w:b/>
        </w:rPr>
        <w:t>E. 5</w:t>
      </w:r>
    </w:p>
    <w:p>
      <w:r>
        <w:t>Somit hat das kantonale Gericht kein Bundesrecht verletzt, als es davon ausging, der Gesundheitszustand des Versicherten habe sich seit der Rentenzusprache erheblich verbessert und in einer angepassten Tätigkeit sei nunmehr ein Arbeitseinsatz von 80 % möglich. Nach den vom Beschwerdeführer nicht substanziiert bestrittenen vorinstanzlichen Erwägungen resultiert daraus ein rentenausschliessender Invaliditätsgrad. Es ist somit nicht zu beanstanden, dass die Vorinstanz die Aufhebung der laufenden Rente auf Ende des der Zustellung der Verfügung vom vom 18. November 2015 folgenden Monats bestätigt hat. Die Beschwerde des Versicherten ist abzuweisen.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